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C2E684">
      <w:pPr>
        <w:spacing w:line="360" w:lineRule="auto"/>
        <w:rPr>
          <w:rFonts w:ascii="宋体" w:hAnsi="宋体"/>
          <w:b/>
          <w:bCs/>
          <w:color w:val="auto"/>
          <w:sz w:val="44"/>
          <w:szCs w:val="44"/>
        </w:rPr>
      </w:pPr>
    </w:p>
    <w:p w14:paraId="74C2AD09">
      <w:pPr>
        <w:spacing w:line="360" w:lineRule="auto"/>
        <w:jc w:val="center"/>
        <w:rPr>
          <w:rFonts w:hint="eastAsia" w:ascii="宋体" w:hAnsi="宋体" w:eastAsia="宋体"/>
          <w:b/>
          <w:bCs/>
          <w:color w:val="auto"/>
          <w:sz w:val="44"/>
          <w:szCs w:val="44"/>
          <w:lang w:eastAsia="zh-CN"/>
        </w:rPr>
      </w:pPr>
      <w:r>
        <w:rPr>
          <w:rFonts w:hint="eastAsia" w:ascii="宋体" w:hAnsi="宋体"/>
          <w:b/>
          <w:bCs/>
          <w:color w:val="auto"/>
          <w:sz w:val="44"/>
          <w:szCs w:val="44"/>
          <w:lang w:eastAsia="zh-CN"/>
        </w:rPr>
        <w:t>南通农副产品物流有限公司蔬菜东场地钢结构雨棚项目</w:t>
      </w:r>
    </w:p>
    <w:p w14:paraId="71B6E668">
      <w:pPr>
        <w:spacing w:line="360" w:lineRule="auto"/>
        <w:jc w:val="center"/>
        <w:rPr>
          <w:rFonts w:ascii="宋体" w:hAnsi="宋体"/>
          <w:b/>
          <w:bCs/>
          <w:color w:val="auto"/>
          <w:sz w:val="52"/>
          <w:szCs w:val="52"/>
        </w:rPr>
      </w:pPr>
    </w:p>
    <w:p w14:paraId="7AF082A4">
      <w:pPr>
        <w:pStyle w:val="56"/>
        <w:rPr>
          <w:color w:val="auto"/>
        </w:rPr>
      </w:pPr>
    </w:p>
    <w:p w14:paraId="4E7F88AD">
      <w:pPr>
        <w:rPr>
          <w:color w:val="auto"/>
        </w:rPr>
      </w:pPr>
    </w:p>
    <w:p w14:paraId="6BED65C2">
      <w:pPr>
        <w:spacing w:line="360" w:lineRule="auto"/>
        <w:jc w:val="center"/>
        <w:rPr>
          <w:rFonts w:ascii="宋体" w:hAnsi="宋体"/>
          <w:b/>
          <w:bCs/>
          <w:color w:val="auto"/>
          <w:sz w:val="52"/>
          <w:szCs w:val="52"/>
          <w:u w:val="single"/>
        </w:rPr>
      </w:pPr>
      <w:r>
        <w:rPr>
          <w:rFonts w:ascii="宋体" w:hAnsi="宋体"/>
          <w:b/>
          <w:bCs/>
          <w:color w:val="auto"/>
          <w:sz w:val="52"/>
          <w:szCs w:val="52"/>
        </w:rPr>
        <w:t>招标文件</w:t>
      </w:r>
    </w:p>
    <w:p w14:paraId="2364CEC4">
      <w:pPr>
        <w:spacing w:line="360" w:lineRule="auto"/>
        <w:jc w:val="center"/>
        <w:rPr>
          <w:rFonts w:ascii="宋体" w:hAnsi="宋体"/>
          <w:color w:val="auto"/>
          <w:sz w:val="36"/>
          <w:szCs w:val="36"/>
        </w:rPr>
      </w:pPr>
      <w:r>
        <w:rPr>
          <w:rFonts w:ascii="宋体" w:hAnsi="宋体"/>
          <w:color w:val="auto"/>
          <w:sz w:val="36"/>
          <w:szCs w:val="36"/>
        </w:rPr>
        <w:t>（工程量清单计价）</w:t>
      </w:r>
    </w:p>
    <w:p w14:paraId="4FEA5AF0">
      <w:pPr>
        <w:spacing w:line="360" w:lineRule="auto"/>
        <w:rPr>
          <w:rFonts w:ascii="宋体" w:hAnsi="宋体"/>
          <w:color w:val="auto"/>
          <w:sz w:val="36"/>
          <w:szCs w:val="36"/>
        </w:rPr>
      </w:pPr>
    </w:p>
    <w:p w14:paraId="0DB3F857">
      <w:pPr>
        <w:spacing w:line="360" w:lineRule="auto"/>
        <w:jc w:val="center"/>
        <w:rPr>
          <w:rFonts w:ascii="宋体" w:hAnsi="宋体"/>
          <w:color w:val="auto"/>
          <w:sz w:val="25"/>
        </w:rPr>
      </w:pPr>
    </w:p>
    <w:p w14:paraId="16CC297D">
      <w:pPr>
        <w:spacing w:line="360" w:lineRule="auto"/>
        <w:rPr>
          <w:rFonts w:ascii="宋体" w:hAnsi="宋体"/>
          <w:color w:val="auto"/>
          <w:sz w:val="25"/>
        </w:rPr>
      </w:pPr>
    </w:p>
    <w:p w14:paraId="44605333">
      <w:pPr>
        <w:spacing w:line="360" w:lineRule="auto"/>
        <w:rPr>
          <w:rFonts w:ascii="宋体" w:hAnsi="宋体"/>
          <w:color w:val="auto"/>
          <w:sz w:val="25"/>
        </w:rPr>
      </w:pPr>
    </w:p>
    <w:p w14:paraId="4657396B">
      <w:pPr>
        <w:spacing w:line="360" w:lineRule="auto"/>
        <w:rPr>
          <w:rFonts w:ascii="宋体" w:hAnsi="宋体"/>
          <w:color w:val="auto"/>
          <w:sz w:val="25"/>
        </w:rPr>
      </w:pPr>
    </w:p>
    <w:p w14:paraId="18A8DBBC">
      <w:pPr>
        <w:spacing w:line="360" w:lineRule="auto"/>
        <w:jc w:val="center"/>
        <w:rPr>
          <w:rFonts w:ascii="宋体" w:hAnsi="宋体"/>
          <w:color w:val="auto"/>
          <w:sz w:val="25"/>
        </w:rPr>
      </w:pPr>
    </w:p>
    <w:p w14:paraId="080AE41E">
      <w:pPr>
        <w:spacing w:line="360" w:lineRule="auto"/>
        <w:jc w:val="center"/>
        <w:rPr>
          <w:rFonts w:ascii="宋体" w:hAnsi="宋体"/>
          <w:color w:val="auto"/>
          <w:sz w:val="25"/>
        </w:rPr>
      </w:pPr>
    </w:p>
    <w:p w14:paraId="59B4FC0A">
      <w:pPr>
        <w:spacing w:line="360" w:lineRule="auto"/>
        <w:jc w:val="center"/>
        <w:rPr>
          <w:rFonts w:ascii="宋体" w:hAnsi="宋体"/>
          <w:color w:val="auto"/>
          <w:sz w:val="25"/>
        </w:rPr>
      </w:pPr>
    </w:p>
    <w:p w14:paraId="1076C75E">
      <w:pPr>
        <w:pStyle w:val="56"/>
        <w:rPr>
          <w:color w:val="auto"/>
        </w:rPr>
      </w:pPr>
    </w:p>
    <w:p w14:paraId="6949A346">
      <w:pPr>
        <w:rPr>
          <w:color w:val="auto"/>
        </w:rPr>
      </w:pPr>
    </w:p>
    <w:p w14:paraId="1BA38CD4">
      <w:pPr>
        <w:spacing w:line="360" w:lineRule="auto"/>
        <w:jc w:val="center"/>
        <w:rPr>
          <w:rFonts w:ascii="宋体" w:hAnsi="宋体"/>
          <w:color w:val="auto"/>
          <w:sz w:val="25"/>
        </w:rPr>
      </w:pPr>
    </w:p>
    <w:p w14:paraId="4132295C">
      <w:pPr>
        <w:spacing w:line="360" w:lineRule="auto"/>
        <w:ind w:firstLine="1433" w:firstLineChars="446"/>
        <w:rPr>
          <w:rFonts w:hint="eastAsia" w:hAnsi="宋体" w:eastAsia="宋体"/>
          <w:b/>
          <w:bCs/>
          <w:color w:val="auto"/>
          <w:sz w:val="32"/>
          <w:szCs w:val="32"/>
          <w:lang w:eastAsia="zh-CN"/>
        </w:rPr>
      </w:pPr>
      <w:r>
        <w:rPr>
          <w:rFonts w:hAnsi="宋体"/>
          <w:b/>
          <w:bCs/>
          <w:color w:val="auto"/>
          <w:sz w:val="32"/>
          <w:szCs w:val="32"/>
        </w:rPr>
        <w:t>招标人：</w:t>
      </w:r>
      <w:r>
        <w:rPr>
          <w:rFonts w:hint="eastAsia" w:hAnsi="宋体"/>
          <w:b/>
          <w:bCs/>
          <w:color w:val="auto"/>
          <w:sz w:val="32"/>
          <w:szCs w:val="32"/>
          <w:lang w:eastAsia="zh-CN"/>
        </w:rPr>
        <w:t>南通农副产品物流有限公司</w:t>
      </w:r>
    </w:p>
    <w:p w14:paraId="2704F692">
      <w:pPr>
        <w:spacing w:line="360" w:lineRule="auto"/>
        <w:ind w:firstLine="1433" w:firstLineChars="446"/>
        <w:rPr>
          <w:b/>
          <w:bCs/>
          <w:color w:val="auto"/>
          <w:sz w:val="32"/>
          <w:szCs w:val="32"/>
        </w:rPr>
      </w:pPr>
      <w:r>
        <w:rPr>
          <w:rFonts w:hAnsi="宋体"/>
          <w:b/>
          <w:bCs/>
          <w:color w:val="auto"/>
          <w:sz w:val="32"/>
          <w:szCs w:val="32"/>
        </w:rPr>
        <w:t>招标代理人：</w:t>
      </w:r>
      <w:r>
        <w:rPr>
          <w:rFonts w:hint="eastAsia" w:hAnsi="宋体"/>
          <w:b/>
          <w:bCs/>
          <w:color w:val="auto"/>
          <w:sz w:val="32"/>
          <w:szCs w:val="32"/>
        </w:rPr>
        <w:t>江苏中房工程咨询有限公司</w:t>
      </w:r>
    </w:p>
    <w:p w14:paraId="395970F6">
      <w:pPr>
        <w:pStyle w:val="27"/>
        <w:spacing w:before="120" w:beforeLines="50" w:line="360" w:lineRule="auto"/>
        <w:ind w:left="99" w:leftChars="47" w:firstLine="2715" w:firstLineChars="845"/>
        <w:rPr>
          <w:rFonts w:ascii="宋体" w:hAnsi="宋体"/>
          <w:b/>
          <w:color w:val="auto"/>
          <w:sz w:val="32"/>
          <w:szCs w:val="32"/>
        </w:rPr>
      </w:pPr>
      <w:r>
        <w:rPr>
          <w:rFonts w:ascii="宋体" w:hAnsi="宋体"/>
          <w:b/>
          <w:color w:val="auto"/>
          <w:sz w:val="32"/>
          <w:szCs w:val="32"/>
        </w:rPr>
        <w:t>二</w:t>
      </w:r>
      <w:r>
        <w:rPr>
          <w:rFonts w:hint="eastAsia" w:ascii="宋体" w:hAnsi="宋体"/>
          <w:b/>
          <w:color w:val="auto"/>
          <w:sz w:val="32"/>
          <w:szCs w:val="32"/>
        </w:rPr>
        <w:t>〇二</w:t>
      </w:r>
      <w:r>
        <w:rPr>
          <w:rFonts w:hint="eastAsia" w:ascii="宋体" w:hAnsi="宋体"/>
          <w:b/>
          <w:color w:val="auto"/>
          <w:sz w:val="32"/>
          <w:szCs w:val="32"/>
          <w:lang w:val="en-US" w:eastAsia="zh-CN"/>
        </w:rPr>
        <w:t>六</w:t>
      </w:r>
      <w:r>
        <w:rPr>
          <w:rFonts w:hint="eastAsia" w:ascii="宋体" w:hAnsi="宋体"/>
          <w:b/>
          <w:color w:val="auto"/>
          <w:sz w:val="32"/>
          <w:szCs w:val="32"/>
        </w:rPr>
        <w:t>年</w:t>
      </w:r>
      <w:r>
        <w:rPr>
          <w:rFonts w:hint="eastAsia" w:ascii="宋体" w:hAnsi="宋体"/>
          <w:b/>
          <w:color w:val="auto"/>
          <w:sz w:val="32"/>
          <w:szCs w:val="32"/>
          <w:lang w:val="en-US" w:eastAsia="zh-CN"/>
        </w:rPr>
        <w:t>十</w:t>
      </w:r>
      <w:r>
        <w:rPr>
          <w:rFonts w:hint="eastAsia" w:ascii="宋体" w:hAnsi="宋体"/>
          <w:b/>
          <w:color w:val="auto"/>
          <w:sz w:val="32"/>
          <w:szCs w:val="32"/>
        </w:rPr>
        <w:t>月</w:t>
      </w:r>
      <w:r>
        <w:rPr>
          <w:rFonts w:hint="eastAsia" w:ascii="宋体" w:hAnsi="宋体"/>
          <w:b/>
          <w:color w:val="auto"/>
          <w:sz w:val="32"/>
          <w:szCs w:val="32"/>
          <w:lang w:val="en-US" w:eastAsia="zh-CN"/>
        </w:rPr>
        <w:t>十二</w:t>
      </w:r>
      <w:r>
        <w:rPr>
          <w:rFonts w:hint="eastAsia" w:ascii="宋体" w:hAnsi="宋体"/>
          <w:b/>
          <w:color w:val="auto"/>
          <w:sz w:val="32"/>
          <w:szCs w:val="32"/>
        </w:rPr>
        <w:t>日</w:t>
      </w:r>
    </w:p>
    <w:p w14:paraId="4094821D">
      <w:pPr>
        <w:pStyle w:val="2"/>
        <w:spacing w:line="360" w:lineRule="auto"/>
        <w:jc w:val="center"/>
        <w:rPr>
          <w:rFonts w:ascii="宋体" w:hAnsi="宋体"/>
          <w:b w:val="0"/>
          <w:color w:val="auto"/>
          <w:sz w:val="36"/>
        </w:rPr>
        <w:sectPr>
          <w:footerReference r:id="rId3" w:type="default"/>
          <w:footerReference r:id="rId4" w:type="even"/>
          <w:pgSz w:w="11907" w:h="16840"/>
          <w:pgMar w:top="1418" w:right="1361" w:bottom="1304" w:left="1361" w:header="0" w:footer="975" w:gutter="0"/>
          <w:cols w:space="720" w:num="1"/>
        </w:sectPr>
      </w:pPr>
      <w:bookmarkStart w:id="0" w:name="_Toc380680177"/>
      <w:bookmarkStart w:id="1" w:name="_Toc380681010"/>
      <w:bookmarkStart w:id="2" w:name="_Toc465181333"/>
      <w:bookmarkStart w:id="3" w:name="_Toc380681229"/>
      <w:bookmarkStart w:id="4" w:name="_Toc380680817"/>
    </w:p>
    <w:bookmarkEnd w:id="0"/>
    <w:bookmarkEnd w:id="1"/>
    <w:bookmarkEnd w:id="2"/>
    <w:bookmarkEnd w:id="3"/>
    <w:bookmarkEnd w:id="4"/>
    <w:p w14:paraId="21C5E0A5">
      <w:pPr>
        <w:pStyle w:val="2"/>
        <w:spacing w:before="0" w:after="0" w:line="360" w:lineRule="auto"/>
        <w:ind w:firstLine="1428" w:firstLineChars="395"/>
        <w:rPr>
          <w:rFonts w:ascii="宋体" w:hAnsi="宋体"/>
          <w:color w:val="auto"/>
          <w:sz w:val="36"/>
        </w:rPr>
      </w:pPr>
      <w:bookmarkStart w:id="5" w:name="_Toc380681230"/>
      <w:bookmarkStart w:id="6" w:name="_Toc380680178"/>
      <w:bookmarkStart w:id="7" w:name="_Toc465181334"/>
      <w:bookmarkStart w:id="8" w:name="_Toc380680818"/>
      <w:bookmarkStart w:id="9" w:name="_Toc380681011"/>
      <w:r>
        <w:rPr>
          <w:rFonts w:ascii="宋体" w:hAnsi="宋体"/>
          <w:color w:val="auto"/>
          <w:sz w:val="36"/>
        </w:rPr>
        <w:t>第一章投标人须知及投标人须知前附表</w:t>
      </w:r>
      <w:bookmarkEnd w:id="5"/>
      <w:bookmarkEnd w:id="6"/>
      <w:bookmarkEnd w:id="7"/>
      <w:bookmarkEnd w:id="8"/>
      <w:bookmarkEnd w:id="9"/>
    </w:p>
    <w:p w14:paraId="062EB3A3">
      <w:pPr>
        <w:pStyle w:val="3"/>
        <w:spacing w:line="240" w:lineRule="auto"/>
        <w:jc w:val="center"/>
        <w:rPr>
          <w:rFonts w:ascii="宋体" w:hAnsi="宋体" w:eastAsia="宋体"/>
          <w:color w:val="auto"/>
          <w:sz w:val="25"/>
        </w:rPr>
      </w:pPr>
      <w:bookmarkStart w:id="10" w:name="_Toc380681231"/>
      <w:bookmarkStart w:id="11" w:name="_Toc380681012"/>
      <w:bookmarkStart w:id="12" w:name="_Toc380680819"/>
      <w:bookmarkStart w:id="13" w:name="_Toc380680179"/>
      <w:r>
        <w:rPr>
          <w:rFonts w:ascii="宋体" w:hAnsi="宋体" w:eastAsia="宋体"/>
          <w:color w:val="auto"/>
          <w:sz w:val="30"/>
        </w:rPr>
        <w:t>一、投标人须知前附表</w:t>
      </w:r>
      <w:bookmarkEnd w:id="10"/>
      <w:bookmarkEnd w:id="11"/>
      <w:bookmarkEnd w:id="12"/>
      <w:bookmarkEnd w:id="13"/>
    </w:p>
    <w:tbl>
      <w:tblPr>
        <w:tblStyle w:val="47"/>
        <w:tblW w:w="93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992"/>
        <w:gridCol w:w="1843"/>
        <w:gridCol w:w="5745"/>
      </w:tblGrid>
      <w:tr w14:paraId="40C77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814" w:type="dxa"/>
            <w:vAlign w:val="center"/>
          </w:tcPr>
          <w:p w14:paraId="55865E06">
            <w:pPr>
              <w:keepNext w:val="0"/>
              <w:keepLines w:val="0"/>
              <w:suppressLineNumbers w:val="0"/>
              <w:spacing w:before="0" w:beforeAutospacing="0" w:after="0" w:afterAutospacing="0"/>
              <w:ind w:left="26" w:right="0" w:hanging="27" w:hangingChars="11"/>
              <w:jc w:val="center"/>
              <w:rPr>
                <w:rFonts w:hint="default" w:ascii="宋体" w:hAnsi="宋体" w:cs="宋体"/>
                <w:b/>
                <w:color w:val="auto"/>
                <w:sz w:val="24"/>
              </w:rPr>
            </w:pPr>
            <w:r>
              <w:rPr>
                <w:rFonts w:hint="eastAsia" w:ascii="宋体" w:hAnsi="宋体" w:cs="宋体"/>
                <w:b/>
                <w:color w:val="auto"/>
                <w:sz w:val="24"/>
              </w:rPr>
              <w:t>项号</w:t>
            </w:r>
          </w:p>
        </w:tc>
        <w:tc>
          <w:tcPr>
            <w:tcW w:w="992" w:type="dxa"/>
            <w:vAlign w:val="center"/>
          </w:tcPr>
          <w:p w14:paraId="04E2254F">
            <w:pPr>
              <w:keepNext w:val="0"/>
              <w:keepLines w:val="0"/>
              <w:suppressLineNumbers w:val="0"/>
              <w:spacing w:before="0" w:beforeAutospacing="0" w:after="0" w:afterAutospacing="0"/>
              <w:ind w:left="0" w:right="0"/>
              <w:jc w:val="center"/>
              <w:rPr>
                <w:rFonts w:hint="default" w:ascii="宋体" w:hAnsi="宋体" w:cs="宋体"/>
                <w:b/>
                <w:color w:val="auto"/>
                <w:sz w:val="24"/>
              </w:rPr>
            </w:pPr>
            <w:r>
              <w:rPr>
                <w:rFonts w:hint="eastAsia" w:ascii="宋体" w:hAnsi="宋体" w:cs="宋体"/>
                <w:b/>
                <w:color w:val="auto"/>
                <w:sz w:val="24"/>
              </w:rPr>
              <w:t>条款号</w:t>
            </w:r>
          </w:p>
        </w:tc>
        <w:tc>
          <w:tcPr>
            <w:tcW w:w="1843" w:type="dxa"/>
            <w:vAlign w:val="center"/>
          </w:tcPr>
          <w:p w14:paraId="0B94AEF5">
            <w:pPr>
              <w:keepNext w:val="0"/>
              <w:keepLines w:val="0"/>
              <w:suppressLineNumbers w:val="0"/>
              <w:spacing w:before="0" w:beforeAutospacing="0" w:after="0" w:afterAutospacing="0"/>
              <w:ind w:left="0" w:right="0"/>
              <w:jc w:val="center"/>
              <w:rPr>
                <w:rFonts w:hint="default" w:ascii="宋体" w:hAnsi="宋体" w:cs="宋体"/>
                <w:b/>
                <w:color w:val="auto"/>
                <w:sz w:val="24"/>
              </w:rPr>
            </w:pPr>
            <w:r>
              <w:rPr>
                <w:rFonts w:hint="eastAsia" w:ascii="宋体" w:hAnsi="宋体" w:cs="宋体"/>
                <w:b/>
                <w:color w:val="auto"/>
                <w:sz w:val="24"/>
              </w:rPr>
              <w:t>内容</w:t>
            </w:r>
          </w:p>
        </w:tc>
        <w:tc>
          <w:tcPr>
            <w:tcW w:w="5745" w:type="dxa"/>
            <w:vAlign w:val="center"/>
          </w:tcPr>
          <w:p w14:paraId="73D4BB4B">
            <w:pPr>
              <w:keepNext w:val="0"/>
              <w:keepLines w:val="0"/>
              <w:suppressLineNumbers w:val="0"/>
              <w:spacing w:before="0" w:beforeAutospacing="0" w:after="0" w:afterAutospacing="0"/>
              <w:ind w:left="0" w:right="0"/>
              <w:jc w:val="center"/>
              <w:rPr>
                <w:rFonts w:hint="default" w:ascii="宋体" w:hAnsi="宋体" w:cs="宋体"/>
                <w:b/>
                <w:color w:val="auto"/>
                <w:sz w:val="24"/>
              </w:rPr>
            </w:pPr>
            <w:r>
              <w:rPr>
                <w:rFonts w:hint="eastAsia" w:ascii="宋体" w:hAnsi="宋体" w:cs="宋体"/>
                <w:b/>
                <w:color w:val="auto"/>
                <w:sz w:val="24"/>
              </w:rPr>
              <w:t>说明与要求</w:t>
            </w:r>
          </w:p>
        </w:tc>
      </w:tr>
      <w:tr w14:paraId="44971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4" w:type="dxa"/>
            <w:vAlign w:val="center"/>
          </w:tcPr>
          <w:p w14:paraId="0B131175">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1</w:t>
            </w:r>
          </w:p>
        </w:tc>
        <w:tc>
          <w:tcPr>
            <w:tcW w:w="992" w:type="dxa"/>
            <w:vAlign w:val="center"/>
          </w:tcPr>
          <w:p w14:paraId="7551608F">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1.1</w:t>
            </w:r>
          </w:p>
        </w:tc>
        <w:tc>
          <w:tcPr>
            <w:tcW w:w="1843" w:type="dxa"/>
            <w:vAlign w:val="center"/>
          </w:tcPr>
          <w:p w14:paraId="0AB6426B">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工程名称</w:t>
            </w:r>
          </w:p>
        </w:tc>
        <w:tc>
          <w:tcPr>
            <w:tcW w:w="5745" w:type="dxa"/>
            <w:vAlign w:val="center"/>
          </w:tcPr>
          <w:p w14:paraId="489FD86B">
            <w:pPr>
              <w:keepNext w:val="0"/>
              <w:keepLines w:val="0"/>
              <w:suppressLineNumbers w:val="0"/>
              <w:spacing w:before="0" w:beforeAutospacing="0" w:after="0" w:afterAutospacing="0"/>
              <w:ind w:left="0" w:right="0"/>
              <w:rPr>
                <w:rFonts w:hint="eastAsia" w:ascii="宋体" w:hAnsi="宋体" w:eastAsia="宋体" w:cs="宋体"/>
                <w:color w:val="auto"/>
                <w:sz w:val="24"/>
                <w:lang w:eastAsia="zh-CN"/>
              </w:rPr>
            </w:pPr>
            <w:r>
              <w:rPr>
                <w:rFonts w:hint="eastAsia"/>
                <w:color w:val="auto"/>
                <w:sz w:val="24"/>
                <w:lang w:eastAsia="zh-CN"/>
              </w:rPr>
              <w:t>南通农副产品物流有限公司蔬菜东场地钢结构雨棚项目</w:t>
            </w:r>
          </w:p>
        </w:tc>
      </w:tr>
      <w:tr w14:paraId="0D308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4" w:type="dxa"/>
            <w:vAlign w:val="center"/>
          </w:tcPr>
          <w:p w14:paraId="50894649">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2</w:t>
            </w:r>
          </w:p>
        </w:tc>
        <w:tc>
          <w:tcPr>
            <w:tcW w:w="992" w:type="dxa"/>
            <w:vAlign w:val="center"/>
          </w:tcPr>
          <w:p w14:paraId="41DBE61E">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1.1</w:t>
            </w:r>
          </w:p>
        </w:tc>
        <w:tc>
          <w:tcPr>
            <w:tcW w:w="1843" w:type="dxa"/>
            <w:vAlign w:val="center"/>
          </w:tcPr>
          <w:p w14:paraId="0B935866">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建设地点</w:t>
            </w:r>
          </w:p>
        </w:tc>
        <w:tc>
          <w:tcPr>
            <w:tcW w:w="5745" w:type="dxa"/>
            <w:vAlign w:val="center"/>
          </w:tcPr>
          <w:p w14:paraId="2FC06521">
            <w:pPr>
              <w:keepNext w:val="0"/>
              <w:keepLines w:val="0"/>
              <w:suppressLineNumbers w:val="0"/>
              <w:spacing w:before="0" w:beforeAutospacing="0" w:after="0" w:afterAutospacing="0"/>
              <w:ind w:left="0" w:right="0"/>
              <w:rPr>
                <w:rFonts w:hint="default" w:ascii="宋体" w:hAnsi="宋体" w:cs="宋体"/>
                <w:color w:val="auto"/>
                <w:sz w:val="24"/>
              </w:rPr>
            </w:pPr>
            <w:r>
              <w:rPr>
                <w:rFonts w:hint="eastAsia"/>
                <w:color w:val="auto"/>
                <w:sz w:val="24"/>
              </w:rPr>
              <w:t>南通农副产品物流中心内</w:t>
            </w:r>
          </w:p>
        </w:tc>
      </w:tr>
      <w:tr w14:paraId="0430B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4" w:type="dxa"/>
            <w:vAlign w:val="center"/>
          </w:tcPr>
          <w:p w14:paraId="2310952A">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3</w:t>
            </w:r>
          </w:p>
        </w:tc>
        <w:tc>
          <w:tcPr>
            <w:tcW w:w="992" w:type="dxa"/>
            <w:vAlign w:val="center"/>
          </w:tcPr>
          <w:p w14:paraId="763B22B9">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1.1</w:t>
            </w:r>
          </w:p>
        </w:tc>
        <w:tc>
          <w:tcPr>
            <w:tcW w:w="1843" w:type="dxa"/>
            <w:vAlign w:val="center"/>
          </w:tcPr>
          <w:p w14:paraId="32DB1D0E">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建设规模</w:t>
            </w:r>
          </w:p>
        </w:tc>
        <w:tc>
          <w:tcPr>
            <w:tcW w:w="5745" w:type="dxa"/>
            <w:vAlign w:val="center"/>
          </w:tcPr>
          <w:p w14:paraId="7F822A75">
            <w:pPr>
              <w:keepNext w:val="0"/>
              <w:keepLines w:val="0"/>
              <w:suppressLineNumbers w:val="0"/>
              <w:spacing w:before="0" w:beforeAutospacing="0" w:after="0" w:afterAutospacing="0"/>
              <w:ind w:left="0" w:right="0"/>
              <w:rPr>
                <w:rFonts w:hint="default" w:ascii="宋体" w:hAnsi="宋体" w:cs="宋体"/>
                <w:color w:val="auto"/>
                <w:sz w:val="24"/>
              </w:rPr>
            </w:pPr>
            <w:r>
              <w:rPr>
                <w:rFonts w:hint="eastAsia" w:ascii="宋体" w:hAnsi="宋体" w:cs="宋体"/>
                <w:color w:val="auto"/>
                <w:sz w:val="24"/>
              </w:rPr>
              <w:t>工程总造价约</w:t>
            </w:r>
            <w:r>
              <w:rPr>
                <w:rFonts w:hint="eastAsia" w:ascii="宋体" w:hAnsi="宋体" w:cs="宋体"/>
                <w:color w:val="auto"/>
                <w:sz w:val="24"/>
                <w:lang w:val="en-US" w:eastAsia="zh-CN"/>
              </w:rPr>
              <w:t>40</w:t>
            </w:r>
            <w:r>
              <w:rPr>
                <w:rFonts w:hint="eastAsia" w:ascii="宋体" w:hAnsi="宋体" w:cs="宋体"/>
                <w:color w:val="auto"/>
                <w:sz w:val="24"/>
              </w:rPr>
              <w:t>万</w:t>
            </w:r>
          </w:p>
        </w:tc>
      </w:tr>
      <w:tr w14:paraId="4B08D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4" w:type="dxa"/>
            <w:vAlign w:val="center"/>
          </w:tcPr>
          <w:p w14:paraId="08A15456">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4</w:t>
            </w:r>
          </w:p>
        </w:tc>
        <w:tc>
          <w:tcPr>
            <w:tcW w:w="992" w:type="dxa"/>
            <w:vAlign w:val="center"/>
          </w:tcPr>
          <w:p w14:paraId="2FD11CA3">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1.1</w:t>
            </w:r>
          </w:p>
        </w:tc>
        <w:tc>
          <w:tcPr>
            <w:tcW w:w="1843" w:type="dxa"/>
            <w:vAlign w:val="center"/>
          </w:tcPr>
          <w:p w14:paraId="3A5E4417">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承包方式</w:t>
            </w:r>
          </w:p>
        </w:tc>
        <w:tc>
          <w:tcPr>
            <w:tcW w:w="5745" w:type="dxa"/>
            <w:vAlign w:val="center"/>
          </w:tcPr>
          <w:p w14:paraId="27612925">
            <w:pPr>
              <w:keepNext w:val="0"/>
              <w:keepLines w:val="0"/>
              <w:suppressLineNumbers w:val="0"/>
              <w:spacing w:before="0" w:beforeAutospacing="0" w:after="0" w:afterAutospacing="0"/>
              <w:ind w:left="0" w:right="0"/>
              <w:rPr>
                <w:rFonts w:hint="default" w:ascii="宋体" w:hAnsi="宋体" w:cs="宋体"/>
                <w:color w:val="auto"/>
                <w:sz w:val="24"/>
              </w:rPr>
            </w:pPr>
            <w:r>
              <w:rPr>
                <w:rFonts w:hint="eastAsia" w:ascii="宋体" w:hAnsi="宋体" w:cs="宋体"/>
                <w:color w:val="auto"/>
                <w:sz w:val="24"/>
              </w:rPr>
              <w:t>包工包料</w:t>
            </w:r>
          </w:p>
        </w:tc>
      </w:tr>
      <w:tr w14:paraId="05ADB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4" w:type="dxa"/>
            <w:vAlign w:val="center"/>
          </w:tcPr>
          <w:p w14:paraId="6D3D7FE6">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5</w:t>
            </w:r>
          </w:p>
        </w:tc>
        <w:tc>
          <w:tcPr>
            <w:tcW w:w="992" w:type="dxa"/>
            <w:vAlign w:val="center"/>
          </w:tcPr>
          <w:p w14:paraId="63000AAF">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1.1</w:t>
            </w:r>
          </w:p>
        </w:tc>
        <w:tc>
          <w:tcPr>
            <w:tcW w:w="1843" w:type="dxa"/>
            <w:vAlign w:val="center"/>
          </w:tcPr>
          <w:p w14:paraId="763C05C4">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质量标准</w:t>
            </w:r>
          </w:p>
        </w:tc>
        <w:tc>
          <w:tcPr>
            <w:tcW w:w="5745" w:type="dxa"/>
            <w:vAlign w:val="center"/>
          </w:tcPr>
          <w:p w14:paraId="6859704C">
            <w:pPr>
              <w:keepNext w:val="0"/>
              <w:keepLines w:val="0"/>
              <w:suppressLineNumbers w:val="0"/>
              <w:spacing w:before="0" w:beforeAutospacing="0" w:after="0" w:afterAutospacing="0"/>
              <w:ind w:left="0" w:right="0"/>
              <w:rPr>
                <w:rFonts w:hint="eastAsia" w:ascii="宋体" w:hAnsi="宋体" w:eastAsia="宋体" w:cs="宋体"/>
                <w:color w:val="auto"/>
                <w:sz w:val="24"/>
                <w:lang w:eastAsia="zh-CN"/>
              </w:rPr>
            </w:pPr>
            <w:r>
              <w:rPr>
                <w:rFonts w:hint="eastAsia" w:ascii="宋体" w:hAnsi="宋体" w:cs="宋体"/>
                <w:color w:val="auto"/>
                <w:sz w:val="24"/>
              </w:rPr>
              <w:t>合格</w:t>
            </w:r>
            <w:r>
              <w:rPr>
                <w:rFonts w:hint="eastAsia" w:ascii="宋体" w:hAnsi="宋体" w:cs="宋体"/>
                <w:color w:val="auto"/>
                <w:sz w:val="24"/>
                <w:lang w:val="en-US" w:eastAsia="zh-CN"/>
              </w:rPr>
              <w:t xml:space="preserve"> </w:t>
            </w:r>
          </w:p>
        </w:tc>
      </w:tr>
      <w:tr w14:paraId="75A00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814" w:type="dxa"/>
            <w:vAlign w:val="center"/>
          </w:tcPr>
          <w:p w14:paraId="3277F158">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6</w:t>
            </w:r>
          </w:p>
        </w:tc>
        <w:tc>
          <w:tcPr>
            <w:tcW w:w="992" w:type="dxa"/>
            <w:vAlign w:val="center"/>
          </w:tcPr>
          <w:p w14:paraId="29BAC223">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1.1</w:t>
            </w:r>
          </w:p>
        </w:tc>
        <w:tc>
          <w:tcPr>
            <w:tcW w:w="1843" w:type="dxa"/>
            <w:vAlign w:val="center"/>
          </w:tcPr>
          <w:p w14:paraId="503C959B">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工期要求</w:t>
            </w:r>
          </w:p>
        </w:tc>
        <w:tc>
          <w:tcPr>
            <w:tcW w:w="5745" w:type="dxa"/>
            <w:vAlign w:val="center"/>
          </w:tcPr>
          <w:p w14:paraId="512E49AF">
            <w:pPr>
              <w:keepNext w:val="0"/>
              <w:keepLines w:val="0"/>
              <w:suppressLineNumbers w:val="0"/>
              <w:spacing w:before="0" w:beforeAutospacing="0" w:after="0" w:afterAutospacing="0"/>
              <w:ind w:left="0" w:right="0"/>
              <w:rPr>
                <w:rFonts w:hint="default" w:ascii="宋体" w:hAnsi="宋体" w:cs="宋体"/>
                <w:color w:val="auto"/>
                <w:sz w:val="24"/>
                <w:u w:val="single"/>
              </w:rPr>
            </w:pPr>
            <w:r>
              <w:rPr>
                <w:rFonts w:hint="eastAsia" w:ascii="宋体" w:hAnsi="宋体" w:cs="宋体"/>
                <w:color w:val="auto"/>
                <w:sz w:val="24"/>
              </w:rPr>
              <w:t>计划开工时间：</w:t>
            </w:r>
            <w:r>
              <w:rPr>
                <w:rFonts w:hint="eastAsia" w:ascii="宋体" w:hAnsi="宋体" w:cs="宋体"/>
                <w:color w:val="auto"/>
                <w:sz w:val="24"/>
                <w:u w:val="single"/>
              </w:rPr>
              <w:t>202</w:t>
            </w:r>
            <w:r>
              <w:rPr>
                <w:rFonts w:hint="eastAsia" w:ascii="宋体" w:hAnsi="宋体" w:cs="宋体"/>
                <w:color w:val="auto"/>
                <w:sz w:val="24"/>
                <w:u w:val="single"/>
                <w:lang w:val="en-US" w:eastAsia="zh-CN"/>
              </w:rPr>
              <w:t>6</w:t>
            </w:r>
            <w:r>
              <w:rPr>
                <w:rFonts w:hint="eastAsia" w:ascii="宋体" w:hAnsi="宋体" w:cs="宋体"/>
                <w:color w:val="auto"/>
                <w:sz w:val="24"/>
                <w:u w:val="single"/>
              </w:rPr>
              <w:t>年</w:t>
            </w:r>
            <w:r>
              <w:rPr>
                <w:rFonts w:hint="eastAsia" w:ascii="宋体" w:hAnsi="宋体" w:cs="宋体"/>
                <w:color w:val="auto"/>
                <w:sz w:val="24"/>
                <w:u w:val="single"/>
                <w:lang w:val="en-US" w:eastAsia="zh-CN"/>
              </w:rPr>
              <w:t>10</w:t>
            </w:r>
            <w:r>
              <w:rPr>
                <w:rFonts w:hint="eastAsia" w:ascii="宋体" w:hAnsi="宋体" w:cs="宋体"/>
                <w:color w:val="auto"/>
                <w:sz w:val="24"/>
                <w:u w:val="single"/>
              </w:rPr>
              <w:t>月</w:t>
            </w:r>
          </w:p>
          <w:p w14:paraId="19AC5158">
            <w:pPr>
              <w:keepNext w:val="0"/>
              <w:keepLines w:val="0"/>
              <w:suppressLineNumbers w:val="0"/>
              <w:spacing w:before="0" w:beforeAutospacing="0" w:after="0" w:afterAutospacing="0"/>
              <w:ind w:left="0" w:right="0"/>
              <w:rPr>
                <w:rFonts w:hint="default" w:ascii="宋体" w:hAnsi="宋体" w:cs="宋体"/>
                <w:color w:val="auto"/>
                <w:sz w:val="24"/>
              </w:rPr>
            </w:pPr>
            <w:r>
              <w:rPr>
                <w:rFonts w:hint="eastAsia" w:ascii="宋体" w:hAnsi="宋体" w:cs="宋体"/>
                <w:color w:val="auto"/>
                <w:sz w:val="24"/>
              </w:rPr>
              <w:t>计划竣工时间：</w:t>
            </w:r>
            <w:r>
              <w:rPr>
                <w:rFonts w:hint="eastAsia" w:ascii="宋体" w:hAnsi="宋体" w:cs="宋体"/>
                <w:color w:val="auto"/>
                <w:sz w:val="24"/>
                <w:u w:val="single"/>
              </w:rPr>
              <w:t>202</w:t>
            </w:r>
            <w:r>
              <w:rPr>
                <w:rFonts w:hint="eastAsia" w:ascii="宋体" w:hAnsi="宋体" w:cs="宋体"/>
                <w:color w:val="auto"/>
                <w:sz w:val="24"/>
                <w:u w:val="single"/>
                <w:lang w:val="en-US" w:eastAsia="zh-CN"/>
              </w:rPr>
              <w:t>6</w:t>
            </w:r>
            <w:r>
              <w:rPr>
                <w:rFonts w:hint="eastAsia" w:ascii="宋体" w:hAnsi="宋体" w:cs="宋体"/>
                <w:color w:val="auto"/>
                <w:sz w:val="24"/>
                <w:u w:val="single"/>
              </w:rPr>
              <w:t>年</w:t>
            </w:r>
            <w:r>
              <w:rPr>
                <w:rFonts w:hint="eastAsia" w:ascii="宋体" w:hAnsi="宋体" w:cs="宋体"/>
                <w:color w:val="auto"/>
                <w:sz w:val="24"/>
                <w:u w:val="single"/>
                <w:lang w:val="en-US" w:eastAsia="zh-CN"/>
              </w:rPr>
              <w:t>11</w:t>
            </w:r>
            <w:r>
              <w:rPr>
                <w:rFonts w:hint="eastAsia" w:ascii="宋体" w:hAnsi="宋体" w:cs="宋体"/>
                <w:color w:val="auto"/>
                <w:sz w:val="24"/>
                <w:u w:val="single"/>
              </w:rPr>
              <w:t>月</w:t>
            </w:r>
          </w:p>
          <w:p w14:paraId="3422B467">
            <w:pPr>
              <w:keepNext w:val="0"/>
              <w:keepLines w:val="0"/>
              <w:suppressLineNumbers w:val="0"/>
              <w:spacing w:before="0" w:beforeAutospacing="0" w:after="0" w:afterAutospacing="0"/>
              <w:ind w:left="0" w:right="0"/>
              <w:rPr>
                <w:rFonts w:hint="default" w:ascii="宋体" w:hAnsi="宋体" w:cs="宋体"/>
                <w:color w:val="auto"/>
                <w:sz w:val="24"/>
              </w:rPr>
            </w:pPr>
            <w:r>
              <w:rPr>
                <w:rFonts w:hint="eastAsia" w:ascii="宋体" w:hAnsi="宋体" w:cs="宋体"/>
                <w:color w:val="auto"/>
                <w:sz w:val="24"/>
              </w:rPr>
              <w:t>施工总工期</w:t>
            </w:r>
            <w:r>
              <w:rPr>
                <w:rFonts w:hint="eastAsia" w:ascii="宋体" w:hAnsi="宋体" w:cs="宋体"/>
                <w:color w:val="auto"/>
                <w:sz w:val="24"/>
                <w:u w:val="single"/>
                <w:lang w:val="en-US" w:eastAsia="zh-CN"/>
              </w:rPr>
              <w:t xml:space="preserve"> 30 </w:t>
            </w:r>
            <w:r>
              <w:rPr>
                <w:rFonts w:hint="eastAsia" w:ascii="宋体" w:hAnsi="宋体" w:cs="宋体"/>
                <w:color w:val="auto"/>
                <w:sz w:val="24"/>
              </w:rPr>
              <w:t>日历天</w:t>
            </w:r>
          </w:p>
          <w:p w14:paraId="1C226B38">
            <w:pPr>
              <w:keepNext w:val="0"/>
              <w:keepLines w:val="0"/>
              <w:suppressLineNumbers w:val="0"/>
              <w:spacing w:before="0" w:beforeAutospacing="0" w:after="0" w:afterAutospacing="0"/>
              <w:ind w:left="0" w:right="0"/>
              <w:rPr>
                <w:rFonts w:hint="default" w:ascii="宋体" w:hAnsi="宋体" w:cs="宋体"/>
                <w:color w:val="auto"/>
                <w:sz w:val="24"/>
              </w:rPr>
            </w:pPr>
            <w:r>
              <w:rPr>
                <w:rFonts w:hint="eastAsia" w:ascii="宋体" w:hAnsi="宋体" w:cs="宋体"/>
                <w:color w:val="auto"/>
                <w:sz w:val="24"/>
              </w:rPr>
              <w:t>（具体开工时间以发包人签发的开工通知书为准</w:t>
            </w:r>
            <w:r>
              <w:rPr>
                <w:rFonts w:hint="eastAsia" w:ascii="宋体" w:hAnsi="宋体" w:cs="宋体"/>
                <w:color w:val="auto"/>
                <w:sz w:val="24"/>
                <w:lang w:eastAsia="zh-CN"/>
              </w:rPr>
              <w:t>，</w:t>
            </w:r>
            <w:r>
              <w:rPr>
                <w:rFonts w:hint="eastAsia" w:ascii="宋体" w:hAnsi="宋体" w:cs="宋体"/>
                <w:color w:val="auto"/>
                <w:sz w:val="24"/>
                <w:lang w:val="en-US" w:eastAsia="zh-CN"/>
              </w:rPr>
              <w:t>涉及到水果交易区的施工，上午时间不予考虑</w:t>
            </w:r>
            <w:r>
              <w:rPr>
                <w:rFonts w:hint="eastAsia" w:ascii="宋体" w:hAnsi="宋体" w:cs="宋体"/>
                <w:color w:val="auto"/>
                <w:sz w:val="24"/>
              </w:rPr>
              <w:t>）</w:t>
            </w:r>
          </w:p>
        </w:tc>
      </w:tr>
      <w:tr w14:paraId="743E5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4" w:type="dxa"/>
            <w:vAlign w:val="center"/>
          </w:tcPr>
          <w:p w14:paraId="581B15DF">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7</w:t>
            </w:r>
          </w:p>
        </w:tc>
        <w:tc>
          <w:tcPr>
            <w:tcW w:w="992" w:type="dxa"/>
            <w:vAlign w:val="center"/>
          </w:tcPr>
          <w:p w14:paraId="6BDF7705">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1.4</w:t>
            </w:r>
          </w:p>
        </w:tc>
        <w:tc>
          <w:tcPr>
            <w:tcW w:w="1843" w:type="dxa"/>
            <w:vAlign w:val="center"/>
          </w:tcPr>
          <w:p w14:paraId="647E5801">
            <w:pPr>
              <w:keepNext w:val="0"/>
              <w:keepLines w:val="0"/>
              <w:suppressLineNumbers w:val="0"/>
              <w:spacing w:before="0" w:beforeAutospacing="0" w:after="0" w:afterAutospacing="0"/>
              <w:ind w:left="0" w:right="0"/>
              <w:jc w:val="center"/>
              <w:rPr>
                <w:rFonts w:hint="default" w:ascii="宋体" w:hAnsi="宋体" w:cs="宋体"/>
                <w:color w:val="auto"/>
                <w:kern w:val="0"/>
                <w:sz w:val="24"/>
              </w:rPr>
            </w:pPr>
            <w:r>
              <w:rPr>
                <w:rFonts w:hint="eastAsia" w:ascii="宋体" w:hAnsi="宋体" w:cs="宋体"/>
                <w:color w:val="auto"/>
                <w:kern w:val="0"/>
                <w:sz w:val="24"/>
              </w:rPr>
              <w:t>资金来源</w:t>
            </w:r>
          </w:p>
        </w:tc>
        <w:tc>
          <w:tcPr>
            <w:tcW w:w="5745" w:type="dxa"/>
            <w:vAlign w:val="center"/>
          </w:tcPr>
          <w:p w14:paraId="3BE4DD21">
            <w:pPr>
              <w:keepNext w:val="0"/>
              <w:keepLines w:val="0"/>
              <w:suppressLineNumbers w:val="0"/>
              <w:spacing w:before="0" w:beforeAutospacing="0" w:after="0" w:afterAutospacing="0"/>
              <w:ind w:left="0" w:right="0"/>
              <w:rPr>
                <w:rFonts w:hint="default" w:ascii="宋体" w:hAnsi="宋体" w:cs="宋体"/>
                <w:color w:val="auto"/>
                <w:kern w:val="0"/>
                <w:sz w:val="24"/>
              </w:rPr>
            </w:pPr>
            <w:r>
              <w:rPr>
                <w:rFonts w:hint="eastAsia" w:ascii="宋体" w:hAnsi="宋体" w:cs="宋体"/>
                <w:color w:val="auto"/>
                <w:kern w:val="0"/>
                <w:sz w:val="24"/>
              </w:rPr>
              <w:t>自筹</w:t>
            </w:r>
          </w:p>
        </w:tc>
      </w:tr>
      <w:tr w14:paraId="02C61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814" w:type="dxa"/>
            <w:vAlign w:val="center"/>
          </w:tcPr>
          <w:p w14:paraId="4A2C8A35">
            <w:pPr>
              <w:keepNext w:val="0"/>
              <w:keepLines w:val="0"/>
              <w:suppressLineNumbers w:val="0"/>
              <w:spacing w:before="0" w:beforeAutospacing="0" w:after="0" w:afterAutospacing="0"/>
              <w:ind w:left="0" w:right="0"/>
              <w:jc w:val="center"/>
              <w:rPr>
                <w:rFonts w:hint="default" w:ascii="宋体" w:hAnsi="宋体" w:cs="宋体"/>
                <w:color w:val="auto"/>
                <w:kern w:val="0"/>
                <w:sz w:val="24"/>
              </w:rPr>
            </w:pPr>
            <w:r>
              <w:rPr>
                <w:rFonts w:hint="eastAsia" w:ascii="宋体" w:hAnsi="宋体" w:cs="宋体"/>
                <w:color w:val="auto"/>
                <w:kern w:val="0"/>
                <w:sz w:val="24"/>
              </w:rPr>
              <w:t>8</w:t>
            </w:r>
          </w:p>
        </w:tc>
        <w:tc>
          <w:tcPr>
            <w:tcW w:w="992" w:type="dxa"/>
            <w:vAlign w:val="center"/>
          </w:tcPr>
          <w:p w14:paraId="7BEC8010">
            <w:pPr>
              <w:keepNext w:val="0"/>
              <w:keepLines w:val="0"/>
              <w:suppressLineNumbers w:val="0"/>
              <w:spacing w:before="0" w:beforeAutospacing="0" w:after="0" w:afterAutospacing="0"/>
              <w:ind w:left="0" w:right="0"/>
              <w:jc w:val="center"/>
              <w:rPr>
                <w:rFonts w:hint="default" w:ascii="宋体" w:hAnsi="宋体" w:cs="宋体"/>
                <w:color w:val="auto"/>
                <w:kern w:val="0"/>
                <w:sz w:val="24"/>
              </w:rPr>
            </w:pPr>
            <w:r>
              <w:rPr>
                <w:rFonts w:hint="eastAsia" w:ascii="宋体" w:hAnsi="宋体" w:cs="宋体"/>
                <w:color w:val="auto"/>
                <w:kern w:val="0"/>
                <w:sz w:val="24"/>
              </w:rPr>
              <w:t>2.1</w:t>
            </w:r>
          </w:p>
        </w:tc>
        <w:tc>
          <w:tcPr>
            <w:tcW w:w="1843" w:type="dxa"/>
            <w:vAlign w:val="center"/>
          </w:tcPr>
          <w:p w14:paraId="635528E3">
            <w:pPr>
              <w:keepNext w:val="0"/>
              <w:keepLines w:val="0"/>
              <w:suppressLineNumbers w:val="0"/>
              <w:spacing w:before="0" w:beforeAutospacing="0" w:after="0" w:afterAutospacing="0"/>
              <w:ind w:left="0" w:right="0"/>
              <w:jc w:val="center"/>
              <w:rPr>
                <w:rFonts w:hint="default" w:ascii="宋体" w:hAnsi="宋体" w:cs="宋体"/>
                <w:color w:val="auto"/>
                <w:kern w:val="0"/>
                <w:sz w:val="24"/>
              </w:rPr>
            </w:pPr>
            <w:r>
              <w:rPr>
                <w:rFonts w:hint="eastAsia" w:ascii="宋体" w:hAnsi="宋体" w:cs="宋体"/>
                <w:color w:val="auto"/>
                <w:kern w:val="0"/>
                <w:sz w:val="24"/>
              </w:rPr>
              <w:t>招标范围</w:t>
            </w:r>
          </w:p>
        </w:tc>
        <w:tc>
          <w:tcPr>
            <w:tcW w:w="5745" w:type="dxa"/>
            <w:vAlign w:val="center"/>
          </w:tcPr>
          <w:p w14:paraId="55D8BF1D">
            <w:pPr>
              <w:keepNext w:val="0"/>
              <w:keepLines w:val="0"/>
              <w:suppressLineNumbers w:val="0"/>
              <w:adjustRightInd w:val="0"/>
              <w:snapToGrid w:val="0"/>
              <w:spacing w:before="0" w:beforeAutospacing="0" w:after="0" w:afterAutospacing="0"/>
              <w:ind w:left="0" w:right="0"/>
              <w:rPr>
                <w:rFonts w:hint="default" w:ascii="宋体" w:hAnsi="宋体" w:cs="宋体"/>
                <w:color w:val="auto"/>
                <w:kern w:val="0"/>
                <w:sz w:val="24"/>
              </w:rPr>
            </w:pPr>
            <w:r>
              <w:rPr>
                <w:rFonts w:hint="eastAsia" w:ascii="宋体" w:hAnsi="宋体" w:cs="宋体"/>
                <w:color w:val="auto"/>
                <w:sz w:val="24"/>
                <w:lang w:eastAsia="zh-CN"/>
              </w:rPr>
              <w:t>南通农副产品物流有限公司蔬菜东场地钢结构雨棚项目</w:t>
            </w:r>
            <w:r>
              <w:rPr>
                <w:rFonts w:hint="eastAsia" w:ascii="宋体" w:hAnsi="宋体" w:cs="宋体"/>
                <w:color w:val="auto"/>
                <w:sz w:val="24"/>
              </w:rPr>
              <w:t>，具体详见施工图</w:t>
            </w:r>
            <w:r>
              <w:rPr>
                <w:rFonts w:hint="eastAsia" w:ascii="宋体" w:hAnsi="宋体" w:cs="宋体"/>
                <w:color w:val="auto"/>
                <w:kern w:val="0"/>
                <w:sz w:val="24"/>
              </w:rPr>
              <w:t>及工程量清单。</w:t>
            </w:r>
          </w:p>
        </w:tc>
      </w:tr>
      <w:tr w14:paraId="1B7BE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4" w:type="dxa"/>
            <w:vAlign w:val="center"/>
          </w:tcPr>
          <w:p w14:paraId="71663A43">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9</w:t>
            </w:r>
          </w:p>
        </w:tc>
        <w:tc>
          <w:tcPr>
            <w:tcW w:w="992" w:type="dxa"/>
            <w:vAlign w:val="center"/>
          </w:tcPr>
          <w:p w14:paraId="05E55F4A">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16</w:t>
            </w:r>
          </w:p>
        </w:tc>
        <w:tc>
          <w:tcPr>
            <w:tcW w:w="1843" w:type="dxa"/>
            <w:vAlign w:val="center"/>
          </w:tcPr>
          <w:p w14:paraId="018F5FF9">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工程报价方式</w:t>
            </w:r>
          </w:p>
        </w:tc>
        <w:tc>
          <w:tcPr>
            <w:tcW w:w="5745" w:type="dxa"/>
            <w:vAlign w:val="center"/>
          </w:tcPr>
          <w:p w14:paraId="42E3BBE6">
            <w:pPr>
              <w:keepNext w:val="0"/>
              <w:keepLines w:val="0"/>
              <w:suppressLineNumbers w:val="0"/>
              <w:spacing w:before="0" w:beforeAutospacing="0" w:after="0" w:afterAutospacing="0"/>
              <w:ind w:left="0" w:right="0"/>
              <w:jc w:val="left"/>
              <w:rPr>
                <w:rFonts w:hint="default" w:ascii="宋体" w:hAnsi="宋体" w:cs="宋体"/>
                <w:color w:val="auto"/>
                <w:sz w:val="24"/>
              </w:rPr>
            </w:pPr>
            <w:r>
              <w:rPr>
                <w:rFonts w:hint="eastAsia" w:ascii="宋体" w:hAnsi="宋体" w:cs="宋体"/>
                <w:color w:val="auto"/>
                <w:sz w:val="24"/>
              </w:rPr>
              <w:t>固定综合单价报价</w:t>
            </w:r>
          </w:p>
        </w:tc>
      </w:tr>
      <w:tr w14:paraId="1D4C4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4" w:type="dxa"/>
            <w:vAlign w:val="center"/>
          </w:tcPr>
          <w:p w14:paraId="7482E4D3">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10</w:t>
            </w:r>
          </w:p>
        </w:tc>
        <w:tc>
          <w:tcPr>
            <w:tcW w:w="992" w:type="dxa"/>
            <w:vAlign w:val="center"/>
          </w:tcPr>
          <w:p w14:paraId="4C9B9574">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12</w:t>
            </w:r>
          </w:p>
        </w:tc>
        <w:tc>
          <w:tcPr>
            <w:tcW w:w="1843" w:type="dxa"/>
            <w:vAlign w:val="center"/>
          </w:tcPr>
          <w:p w14:paraId="5D6C5052">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投标有效期</w:t>
            </w:r>
          </w:p>
        </w:tc>
        <w:tc>
          <w:tcPr>
            <w:tcW w:w="5745" w:type="dxa"/>
            <w:vAlign w:val="center"/>
          </w:tcPr>
          <w:p w14:paraId="3FEAC8B7">
            <w:pPr>
              <w:keepNext w:val="0"/>
              <w:keepLines w:val="0"/>
              <w:suppressLineNumbers w:val="0"/>
              <w:spacing w:before="0" w:beforeAutospacing="0" w:after="0" w:afterAutospacing="0"/>
              <w:ind w:left="0" w:right="0"/>
              <w:jc w:val="left"/>
              <w:rPr>
                <w:rFonts w:hint="default" w:ascii="宋体" w:hAnsi="宋体" w:cs="宋体"/>
                <w:color w:val="auto"/>
                <w:sz w:val="24"/>
              </w:rPr>
            </w:pPr>
            <w:r>
              <w:rPr>
                <w:rFonts w:hint="eastAsia" w:ascii="宋体" w:hAnsi="宋体" w:cs="宋体"/>
                <w:color w:val="auto"/>
                <w:sz w:val="24"/>
                <w:u w:val="single"/>
              </w:rPr>
              <w:t xml:space="preserve">  45  </w:t>
            </w:r>
            <w:r>
              <w:rPr>
                <w:rFonts w:hint="eastAsia" w:ascii="宋体" w:hAnsi="宋体" w:cs="宋体"/>
                <w:color w:val="auto"/>
                <w:sz w:val="24"/>
              </w:rPr>
              <w:t>日历天(从投标截止之日算起)</w:t>
            </w:r>
          </w:p>
        </w:tc>
      </w:tr>
      <w:tr w14:paraId="1327D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814" w:type="dxa"/>
            <w:vAlign w:val="center"/>
          </w:tcPr>
          <w:p w14:paraId="126EF9B5">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11</w:t>
            </w:r>
          </w:p>
        </w:tc>
        <w:tc>
          <w:tcPr>
            <w:tcW w:w="992" w:type="dxa"/>
            <w:vAlign w:val="center"/>
          </w:tcPr>
          <w:p w14:paraId="589293DB">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14</w:t>
            </w:r>
          </w:p>
        </w:tc>
        <w:tc>
          <w:tcPr>
            <w:tcW w:w="1843" w:type="dxa"/>
            <w:vAlign w:val="center"/>
          </w:tcPr>
          <w:p w14:paraId="79036054">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投标保证金额</w:t>
            </w:r>
          </w:p>
        </w:tc>
        <w:tc>
          <w:tcPr>
            <w:tcW w:w="5745" w:type="dxa"/>
            <w:vAlign w:val="center"/>
          </w:tcPr>
          <w:p w14:paraId="730F69BC">
            <w:pPr>
              <w:keepNext w:val="0"/>
              <w:keepLines w:val="0"/>
              <w:suppressLineNumbers w:val="0"/>
              <w:spacing w:before="0" w:beforeAutospacing="0" w:after="0" w:afterAutospacing="0"/>
              <w:ind w:left="0" w:right="0"/>
              <w:rPr>
                <w:rFonts w:hint="default" w:ascii="宋体" w:hAnsi="宋体" w:cs="宋体"/>
                <w:color w:val="auto"/>
                <w:sz w:val="24"/>
              </w:rPr>
            </w:pPr>
            <w:r>
              <w:rPr>
                <w:rFonts w:hint="eastAsia" w:ascii="宋体" w:hAnsi="宋体" w:cs="宋体"/>
                <w:color w:val="auto"/>
                <w:sz w:val="24"/>
              </w:rPr>
              <w:t>投标保证金的金额：人民币</w:t>
            </w:r>
            <w:r>
              <w:rPr>
                <w:rFonts w:hint="eastAsia" w:ascii="宋体" w:hAnsi="宋体" w:cs="宋体"/>
                <w:color w:val="auto"/>
                <w:sz w:val="24"/>
                <w:u w:val="single"/>
              </w:rPr>
              <w:t xml:space="preserve"> </w:t>
            </w:r>
            <w:r>
              <w:rPr>
                <w:rFonts w:hint="eastAsia" w:ascii="宋体" w:hAnsi="宋体" w:cs="宋体"/>
                <w:color w:val="auto"/>
                <w:sz w:val="24"/>
                <w:u w:val="single"/>
                <w:lang w:val="en-US" w:eastAsia="zh-CN"/>
              </w:rPr>
              <w:t>7000</w:t>
            </w:r>
            <w:r>
              <w:rPr>
                <w:rFonts w:hint="eastAsia" w:ascii="宋体" w:hAnsi="宋体" w:cs="宋体"/>
                <w:color w:val="auto"/>
                <w:sz w:val="24"/>
                <w:u w:val="single"/>
              </w:rPr>
              <w:t xml:space="preserve"> </w:t>
            </w:r>
            <w:r>
              <w:rPr>
                <w:rFonts w:hint="eastAsia" w:ascii="宋体" w:hAnsi="宋体" w:cs="宋体"/>
                <w:color w:val="auto"/>
                <w:sz w:val="24"/>
              </w:rPr>
              <w:t>元</w:t>
            </w:r>
          </w:p>
          <w:p w14:paraId="56A5B420">
            <w:pPr>
              <w:pStyle w:val="20"/>
              <w:keepNext w:val="0"/>
              <w:keepLines w:val="0"/>
              <w:suppressLineNumbers w:val="0"/>
              <w:spacing w:before="0" w:beforeAutospacing="0" w:after="0" w:afterAutospacing="0" w:line="240" w:lineRule="auto"/>
              <w:ind w:left="0" w:right="0"/>
              <w:rPr>
                <w:rFonts w:hint="default" w:ascii="宋体" w:hAnsi="宋体" w:eastAsia="宋体" w:cs="宋体"/>
                <w:b/>
                <w:bCs/>
                <w:color w:val="auto"/>
                <w:sz w:val="24"/>
              </w:rPr>
            </w:pPr>
            <w:r>
              <w:rPr>
                <w:rFonts w:hint="eastAsia" w:ascii="宋体" w:hAnsi="宋体" w:eastAsia="宋体" w:cs="宋体"/>
                <w:b/>
                <w:bCs/>
                <w:color w:val="auto"/>
                <w:sz w:val="24"/>
              </w:rPr>
              <w:t>账户名称：江苏中房工程咨询有限公司</w:t>
            </w:r>
          </w:p>
          <w:p w14:paraId="3C828C22">
            <w:pPr>
              <w:pStyle w:val="20"/>
              <w:keepNext w:val="0"/>
              <w:keepLines w:val="0"/>
              <w:suppressLineNumbers w:val="0"/>
              <w:spacing w:before="0" w:beforeAutospacing="0" w:after="0" w:afterAutospacing="0" w:line="240" w:lineRule="auto"/>
              <w:ind w:left="0" w:right="0"/>
              <w:rPr>
                <w:rFonts w:hint="default" w:ascii="宋体" w:hAnsi="宋体" w:eastAsia="宋体" w:cs="宋体"/>
                <w:b/>
                <w:bCs/>
                <w:color w:val="auto"/>
                <w:sz w:val="24"/>
              </w:rPr>
            </w:pPr>
            <w:r>
              <w:rPr>
                <w:rFonts w:hint="eastAsia" w:ascii="宋体" w:hAnsi="宋体" w:eastAsia="宋体" w:cs="宋体"/>
                <w:b/>
                <w:bCs/>
                <w:color w:val="auto"/>
                <w:sz w:val="24"/>
              </w:rPr>
              <w:t>开户银行：中国银行南通青年东路支行</w:t>
            </w:r>
          </w:p>
          <w:p w14:paraId="55719257">
            <w:pPr>
              <w:pStyle w:val="20"/>
              <w:keepNext w:val="0"/>
              <w:keepLines w:val="0"/>
              <w:suppressLineNumbers w:val="0"/>
              <w:spacing w:before="0" w:beforeAutospacing="0" w:after="0" w:afterAutospacing="0" w:line="240" w:lineRule="auto"/>
              <w:ind w:left="0" w:right="0"/>
              <w:rPr>
                <w:rFonts w:hint="default" w:ascii="宋体" w:hAnsi="宋体" w:eastAsia="宋体" w:cs="宋体"/>
                <w:color w:val="auto"/>
                <w:sz w:val="24"/>
              </w:rPr>
            </w:pPr>
            <w:r>
              <w:rPr>
                <w:rFonts w:hint="eastAsia" w:ascii="宋体" w:hAnsi="宋体" w:eastAsia="宋体" w:cs="宋体"/>
                <w:b/>
                <w:bCs/>
                <w:color w:val="auto"/>
                <w:sz w:val="24"/>
              </w:rPr>
              <w:t>银行账号：506658202762</w:t>
            </w:r>
          </w:p>
          <w:p w14:paraId="435DBC79">
            <w:pPr>
              <w:pStyle w:val="20"/>
              <w:keepNext w:val="0"/>
              <w:keepLines w:val="0"/>
              <w:suppressLineNumbers w:val="0"/>
              <w:spacing w:before="0" w:beforeAutospacing="0" w:after="0" w:afterAutospacing="0" w:line="240" w:lineRule="auto"/>
              <w:ind w:left="0" w:right="0"/>
              <w:rPr>
                <w:rFonts w:hint="default" w:ascii="宋体" w:hAnsi="宋体" w:eastAsia="宋体" w:cs="宋体"/>
                <w:b/>
                <w:bCs/>
                <w:color w:val="auto"/>
                <w:sz w:val="24"/>
              </w:rPr>
            </w:pPr>
            <w:r>
              <w:rPr>
                <w:rFonts w:hint="eastAsia" w:ascii="宋体" w:hAnsi="宋体" w:eastAsia="宋体" w:cs="宋体"/>
                <w:color w:val="auto"/>
                <w:sz w:val="24"/>
              </w:rPr>
              <w:t>注：投标保证金的形式：转账、电汇、网银，本票、现金等形式</w:t>
            </w:r>
            <w:r>
              <w:rPr>
                <w:rFonts w:hint="eastAsia" w:ascii="宋体" w:hAnsi="宋体" w:eastAsia="宋体" w:cs="宋体"/>
                <w:b/>
                <w:bCs/>
                <w:color w:val="auto"/>
                <w:sz w:val="24"/>
              </w:rPr>
              <w:t>。各投标人根据企业实际情况合理选择投标保证金的缴纳形式，各类缴纳形式具有同等法律效力。各投标人必须以企业法人基本存款账户办理保证金缴纳手续（现金除外），否则不予接受。</w:t>
            </w:r>
          </w:p>
          <w:p w14:paraId="7F1A73F5">
            <w:pPr>
              <w:keepNext w:val="0"/>
              <w:keepLines w:val="0"/>
              <w:suppressLineNumbers w:val="0"/>
              <w:adjustRightInd w:val="0"/>
              <w:snapToGrid w:val="0"/>
              <w:spacing w:before="0" w:beforeAutospacing="0" w:after="0" w:afterAutospacing="0"/>
              <w:ind w:left="0" w:right="0"/>
              <w:rPr>
                <w:rFonts w:hint="default" w:ascii="宋体" w:hAnsi="宋体" w:cs="宋体"/>
                <w:b/>
                <w:bCs/>
                <w:color w:val="auto"/>
                <w:sz w:val="24"/>
              </w:rPr>
            </w:pPr>
            <w:r>
              <w:rPr>
                <w:rFonts w:hint="eastAsia" w:ascii="宋体" w:hAnsi="宋体" w:cs="宋体"/>
                <w:b/>
                <w:bCs/>
                <w:color w:val="auto"/>
                <w:sz w:val="24"/>
              </w:rPr>
              <w:t>注：①若采用转账、电汇、网银的，缴纳成功后，请将转账记录及企业法人基本存款账户凭证发送至</w:t>
            </w:r>
            <w:r>
              <w:rPr>
                <w:rFonts w:hint="eastAsia" w:ascii="宋体" w:hAnsi="宋体" w:cs="宋体"/>
                <w:b/>
                <w:bCs/>
                <w:color w:val="auto"/>
                <w:sz w:val="24"/>
                <w:lang w:eastAsia="zh-CN"/>
              </w:rPr>
              <w:t>458101863</w:t>
            </w:r>
            <w:r>
              <w:rPr>
                <w:rFonts w:hint="eastAsia" w:ascii="宋体" w:hAnsi="宋体" w:cs="宋体"/>
                <w:b/>
                <w:bCs/>
                <w:color w:val="auto"/>
                <w:sz w:val="24"/>
              </w:rPr>
              <w:t>@qq.com邮箱！</w:t>
            </w:r>
          </w:p>
          <w:p w14:paraId="3A94542F">
            <w:pPr>
              <w:pStyle w:val="20"/>
              <w:keepNext w:val="0"/>
              <w:keepLines w:val="0"/>
              <w:suppressLineNumbers w:val="0"/>
              <w:spacing w:before="0" w:beforeAutospacing="0" w:after="0" w:afterAutospacing="0" w:line="240" w:lineRule="auto"/>
              <w:ind w:left="0" w:right="0" w:firstLine="482" w:firstLineChars="200"/>
              <w:rPr>
                <w:rFonts w:hint="default" w:ascii="宋体" w:hAnsi="宋体" w:eastAsia="宋体" w:cs="宋体"/>
                <w:b/>
                <w:bCs/>
                <w:color w:val="auto"/>
                <w:sz w:val="24"/>
              </w:rPr>
            </w:pPr>
            <w:r>
              <w:rPr>
                <w:rFonts w:hint="eastAsia" w:ascii="宋体" w:hAnsi="宋体" w:eastAsia="宋体" w:cs="宋体"/>
                <w:b/>
                <w:bCs/>
                <w:color w:val="auto"/>
                <w:sz w:val="24"/>
              </w:rPr>
              <w:t>②若采用本票的：请将本票及企业法人基本存款账户凭证带至开标现场在投标截止时间前同投标文件一起递交；若为现金的，则请将现金密封后带至开标现场在投标截止时间前同投标文件一起递交。</w:t>
            </w:r>
          </w:p>
          <w:p w14:paraId="099CD6BE">
            <w:pPr>
              <w:keepNext w:val="0"/>
              <w:keepLines w:val="0"/>
              <w:suppressLineNumbers w:val="0"/>
              <w:adjustRightInd w:val="0"/>
              <w:snapToGrid w:val="0"/>
              <w:spacing w:before="0" w:beforeAutospacing="0" w:after="0" w:afterAutospacing="0"/>
              <w:ind w:left="0" w:right="0"/>
              <w:jc w:val="left"/>
              <w:rPr>
                <w:rFonts w:hint="default" w:ascii="宋体" w:hAnsi="宋体" w:cs="宋体"/>
                <w:color w:val="auto"/>
                <w:sz w:val="24"/>
              </w:rPr>
            </w:pPr>
            <w:r>
              <w:rPr>
                <w:rFonts w:hint="eastAsia" w:ascii="宋体" w:hAnsi="宋体" w:cs="宋体"/>
                <w:color w:val="auto"/>
                <w:sz w:val="24"/>
              </w:rPr>
              <w:t>特别提醒：投标人应当按照规定的时间和方式，及时、足额汇入投标保证金，以保证金到达指定账户的时刻作为有效保证金时限的依据，各投标人应当充分预判因各种因素导致保证金到账的滞后情况，提前做好相关准备。</w:t>
            </w:r>
          </w:p>
        </w:tc>
      </w:tr>
      <w:tr w14:paraId="22970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814" w:type="dxa"/>
            <w:vAlign w:val="center"/>
          </w:tcPr>
          <w:p w14:paraId="45F0479F">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12</w:t>
            </w:r>
          </w:p>
        </w:tc>
        <w:tc>
          <w:tcPr>
            <w:tcW w:w="992" w:type="dxa"/>
            <w:vAlign w:val="center"/>
          </w:tcPr>
          <w:p w14:paraId="789856FE">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6.2</w:t>
            </w:r>
          </w:p>
        </w:tc>
        <w:tc>
          <w:tcPr>
            <w:tcW w:w="1843" w:type="dxa"/>
            <w:vAlign w:val="center"/>
          </w:tcPr>
          <w:p w14:paraId="46175EAC">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提交疑问材料</w:t>
            </w:r>
          </w:p>
          <w:p w14:paraId="3E25A849">
            <w:pPr>
              <w:keepNext w:val="0"/>
              <w:keepLines w:val="0"/>
              <w:suppressLineNumbers w:val="0"/>
              <w:spacing w:before="0" w:beforeAutospacing="0" w:after="0" w:afterAutospacing="0"/>
              <w:ind w:left="0" w:right="0"/>
              <w:jc w:val="center"/>
              <w:rPr>
                <w:rFonts w:hint="default" w:ascii="宋体" w:hAnsi="宋体" w:cs="宋体"/>
                <w:color w:val="auto"/>
                <w:kern w:val="0"/>
                <w:sz w:val="24"/>
              </w:rPr>
            </w:pPr>
            <w:r>
              <w:rPr>
                <w:rFonts w:hint="eastAsia" w:ascii="宋体" w:hAnsi="宋体" w:cs="宋体"/>
                <w:color w:val="auto"/>
                <w:sz w:val="24"/>
              </w:rPr>
              <w:t>时间及方式</w:t>
            </w:r>
          </w:p>
        </w:tc>
        <w:tc>
          <w:tcPr>
            <w:tcW w:w="5745" w:type="dxa"/>
            <w:vAlign w:val="center"/>
          </w:tcPr>
          <w:p w14:paraId="56A952F9">
            <w:pPr>
              <w:keepNext w:val="0"/>
              <w:keepLines w:val="0"/>
              <w:suppressLineNumbers w:val="0"/>
              <w:adjustRightInd w:val="0"/>
              <w:snapToGrid w:val="0"/>
              <w:spacing w:before="0" w:beforeAutospacing="0" w:after="0" w:afterAutospacing="0"/>
              <w:ind w:left="0" w:right="0"/>
              <w:rPr>
                <w:rFonts w:hint="default" w:ascii="宋体" w:hAnsi="宋体" w:cs="宋体"/>
                <w:color w:val="auto"/>
                <w:sz w:val="24"/>
              </w:rPr>
            </w:pPr>
            <w:r>
              <w:rPr>
                <w:rFonts w:hint="eastAsia" w:ascii="宋体" w:hAnsi="宋体" w:cs="宋体"/>
                <w:color w:val="auto"/>
                <w:sz w:val="24"/>
              </w:rPr>
              <w:t>如有疑问需要招标人澄清应在</w:t>
            </w:r>
            <w:r>
              <w:rPr>
                <w:rFonts w:hint="eastAsia" w:ascii="宋体" w:hAnsi="宋体" w:cs="宋体"/>
                <w:color w:val="auto"/>
                <w:sz w:val="24"/>
                <w:u w:val="single"/>
              </w:rPr>
              <w:t>202</w:t>
            </w:r>
            <w:r>
              <w:rPr>
                <w:rFonts w:hint="eastAsia" w:ascii="宋体" w:hAnsi="宋体" w:cs="宋体"/>
                <w:color w:val="auto"/>
                <w:sz w:val="24"/>
                <w:u w:val="single"/>
                <w:lang w:val="en-US" w:eastAsia="zh-CN"/>
              </w:rPr>
              <w:t>6</w:t>
            </w:r>
            <w:r>
              <w:rPr>
                <w:rFonts w:hint="eastAsia" w:ascii="宋体" w:hAnsi="宋体" w:cs="宋体"/>
                <w:color w:val="auto"/>
                <w:sz w:val="24"/>
                <w:u w:val="single"/>
              </w:rPr>
              <w:t>年</w:t>
            </w:r>
            <w:r>
              <w:rPr>
                <w:rFonts w:hint="eastAsia" w:ascii="宋体" w:hAnsi="宋体" w:cs="宋体"/>
                <w:color w:val="auto"/>
                <w:sz w:val="24"/>
                <w:u w:val="single"/>
                <w:lang w:val="en-US" w:eastAsia="zh-CN"/>
              </w:rPr>
              <w:t>10</w:t>
            </w:r>
            <w:r>
              <w:rPr>
                <w:rFonts w:hint="eastAsia" w:ascii="宋体" w:hAnsi="宋体" w:cs="宋体"/>
                <w:color w:val="auto"/>
                <w:sz w:val="24"/>
                <w:u w:val="single"/>
              </w:rPr>
              <w:t>月</w:t>
            </w:r>
            <w:r>
              <w:rPr>
                <w:rFonts w:hint="eastAsia" w:ascii="宋体" w:hAnsi="宋体" w:cs="宋体"/>
                <w:color w:val="auto"/>
                <w:sz w:val="24"/>
                <w:u w:val="single"/>
                <w:lang w:val="en-US" w:eastAsia="zh-CN"/>
              </w:rPr>
              <w:t>15</w:t>
            </w:r>
            <w:r>
              <w:rPr>
                <w:rFonts w:hint="eastAsia" w:ascii="宋体" w:hAnsi="宋体" w:cs="宋体"/>
                <w:color w:val="auto"/>
                <w:sz w:val="24"/>
                <w:u w:val="single"/>
              </w:rPr>
              <w:t>日17时</w:t>
            </w:r>
            <w:r>
              <w:rPr>
                <w:rFonts w:hint="eastAsia" w:ascii="宋体" w:hAnsi="宋体" w:cs="宋体"/>
                <w:color w:val="auto"/>
                <w:sz w:val="24"/>
              </w:rPr>
              <w:t>前以电子文件形式（不具单位名称、不加盖单位公章）发送至指定邮箱</w:t>
            </w:r>
            <w:r>
              <w:rPr>
                <w:rFonts w:hint="eastAsia" w:ascii="宋体" w:hAnsi="宋体" w:cs="宋体"/>
                <w:color w:val="auto"/>
                <w:sz w:val="24"/>
                <w:u w:val="single"/>
              </w:rPr>
              <w:t>（</w:t>
            </w:r>
            <w:r>
              <w:rPr>
                <w:rFonts w:hint="eastAsia" w:ascii="宋体" w:hAnsi="宋体" w:cs="宋体"/>
                <w:color w:val="auto"/>
                <w:sz w:val="24"/>
                <w:u w:val="single"/>
                <w:lang w:eastAsia="zh-CN"/>
              </w:rPr>
              <w:t>458101863</w:t>
            </w:r>
            <w:r>
              <w:rPr>
                <w:rFonts w:hint="eastAsia" w:ascii="宋体" w:hAnsi="宋体" w:cs="宋体"/>
                <w:color w:val="auto"/>
                <w:sz w:val="24"/>
                <w:u w:val="single"/>
              </w:rPr>
              <w:t>@qq.com）</w:t>
            </w:r>
            <w:r>
              <w:rPr>
                <w:rFonts w:hint="eastAsia" w:ascii="宋体" w:hAnsi="宋体" w:cs="宋体"/>
                <w:color w:val="auto"/>
                <w:sz w:val="24"/>
              </w:rPr>
              <w:t>提出</w:t>
            </w:r>
            <w:r>
              <w:rPr>
                <w:rFonts w:hint="eastAsia" w:asciiTheme="minorEastAsia" w:hAnsiTheme="minorEastAsia" w:eastAsiaTheme="minorEastAsia"/>
                <w:color w:val="auto"/>
                <w:spacing w:val="-12"/>
                <w:sz w:val="24"/>
              </w:rPr>
              <w:t>。</w:t>
            </w:r>
          </w:p>
        </w:tc>
      </w:tr>
      <w:tr w14:paraId="71E39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814" w:type="dxa"/>
            <w:vAlign w:val="center"/>
          </w:tcPr>
          <w:p w14:paraId="5943270E">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13</w:t>
            </w:r>
          </w:p>
        </w:tc>
        <w:tc>
          <w:tcPr>
            <w:tcW w:w="992" w:type="dxa"/>
            <w:vAlign w:val="center"/>
          </w:tcPr>
          <w:p w14:paraId="143FBEA6">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4</w:t>
            </w:r>
          </w:p>
        </w:tc>
        <w:tc>
          <w:tcPr>
            <w:tcW w:w="1843" w:type="dxa"/>
            <w:vAlign w:val="center"/>
          </w:tcPr>
          <w:p w14:paraId="6F0BC338">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踏勘现场答疑时间</w:t>
            </w:r>
          </w:p>
        </w:tc>
        <w:tc>
          <w:tcPr>
            <w:tcW w:w="5745" w:type="dxa"/>
            <w:vAlign w:val="center"/>
          </w:tcPr>
          <w:p w14:paraId="77E7EC07">
            <w:pPr>
              <w:keepNext w:val="0"/>
              <w:keepLines w:val="0"/>
              <w:suppressLineNumbers w:val="0"/>
              <w:spacing w:before="0" w:beforeAutospacing="0" w:after="0" w:afterAutospacing="0"/>
              <w:ind w:left="0" w:right="0"/>
              <w:jc w:val="left"/>
              <w:rPr>
                <w:rFonts w:hint="default" w:ascii="宋体" w:hAnsi="宋体" w:cs="宋体"/>
                <w:color w:val="auto"/>
                <w:sz w:val="24"/>
              </w:rPr>
            </w:pPr>
            <w:r>
              <w:rPr>
                <w:rFonts w:hint="eastAsia" w:ascii="宋体" w:hAnsi="宋体" w:cs="宋体"/>
                <w:color w:val="auto"/>
                <w:sz w:val="24"/>
              </w:rPr>
              <w:t>投标人自行踏勘现场</w:t>
            </w:r>
          </w:p>
          <w:p w14:paraId="26325F36">
            <w:pPr>
              <w:keepNext w:val="0"/>
              <w:keepLines w:val="0"/>
              <w:suppressLineNumbers w:val="0"/>
              <w:spacing w:before="0" w:beforeAutospacing="0" w:after="0" w:afterAutospacing="0"/>
              <w:ind w:left="0" w:right="0"/>
              <w:jc w:val="left"/>
              <w:rPr>
                <w:rFonts w:hint="default" w:ascii="宋体" w:hAnsi="宋体" w:cs="宋体"/>
                <w:color w:val="auto"/>
                <w:sz w:val="24"/>
              </w:rPr>
            </w:pPr>
            <w:r>
              <w:rPr>
                <w:rFonts w:hint="eastAsia" w:ascii="宋体" w:hAnsi="宋体" w:cs="宋体"/>
                <w:color w:val="auto"/>
                <w:sz w:val="24"/>
              </w:rPr>
              <w:t>答疑提交截止时间：</w:t>
            </w:r>
            <w:r>
              <w:rPr>
                <w:rFonts w:hint="eastAsia" w:ascii="宋体" w:hAnsi="宋体" w:cs="宋体"/>
                <w:color w:val="auto"/>
                <w:sz w:val="24"/>
                <w:u w:val="single"/>
              </w:rPr>
              <w:t>202</w:t>
            </w:r>
            <w:r>
              <w:rPr>
                <w:rFonts w:hint="eastAsia" w:ascii="宋体" w:hAnsi="宋体" w:cs="宋体"/>
                <w:color w:val="auto"/>
                <w:sz w:val="24"/>
                <w:u w:val="single"/>
                <w:lang w:val="en-US" w:eastAsia="zh-CN"/>
              </w:rPr>
              <w:t>6</w:t>
            </w:r>
            <w:r>
              <w:rPr>
                <w:rFonts w:hint="eastAsia" w:ascii="宋体" w:hAnsi="宋体" w:cs="宋体"/>
                <w:color w:val="auto"/>
                <w:sz w:val="24"/>
                <w:u w:val="single"/>
              </w:rPr>
              <w:t>年</w:t>
            </w:r>
            <w:r>
              <w:rPr>
                <w:rFonts w:hint="eastAsia" w:ascii="宋体" w:hAnsi="宋体" w:cs="宋体"/>
                <w:color w:val="auto"/>
                <w:sz w:val="24"/>
                <w:u w:val="single"/>
                <w:lang w:val="en-US" w:eastAsia="zh-CN"/>
              </w:rPr>
              <w:t>10</w:t>
            </w:r>
            <w:r>
              <w:rPr>
                <w:rFonts w:hint="eastAsia" w:ascii="宋体" w:hAnsi="宋体" w:cs="宋体"/>
                <w:color w:val="auto"/>
                <w:sz w:val="24"/>
                <w:u w:val="single"/>
              </w:rPr>
              <w:t>月</w:t>
            </w:r>
            <w:r>
              <w:rPr>
                <w:rFonts w:hint="eastAsia" w:ascii="宋体" w:hAnsi="宋体" w:cs="宋体"/>
                <w:color w:val="auto"/>
                <w:sz w:val="24"/>
                <w:u w:val="single"/>
                <w:lang w:val="en-US" w:eastAsia="zh-CN"/>
              </w:rPr>
              <w:t>15</w:t>
            </w:r>
            <w:r>
              <w:rPr>
                <w:rFonts w:hint="eastAsia" w:ascii="宋体" w:hAnsi="宋体" w:cs="宋体"/>
                <w:color w:val="auto"/>
                <w:sz w:val="24"/>
                <w:u w:val="single"/>
              </w:rPr>
              <w:t>日17时前</w:t>
            </w:r>
          </w:p>
        </w:tc>
      </w:tr>
      <w:tr w14:paraId="4A123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814" w:type="dxa"/>
            <w:vAlign w:val="center"/>
          </w:tcPr>
          <w:p w14:paraId="3BC1DB3E">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14</w:t>
            </w:r>
          </w:p>
        </w:tc>
        <w:tc>
          <w:tcPr>
            <w:tcW w:w="992" w:type="dxa"/>
            <w:vAlign w:val="center"/>
          </w:tcPr>
          <w:p w14:paraId="3D0E690C">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18.2</w:t>
            </w:r>
          </w:p>
        </w:tc>
        <w:tc>
          <w:tcPr>
            <w:tcW w:w="1843" w:type="dxa"/>
            <w:vAlign w:val="center"/>
          </w:tcPr>
          <w:p w14:paraId="7860830A">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最高投标限价编制依据</w:t>
            </w:r>
          </w:p>
        </w:tc>
        <w:tc>
          <w:tcPr>
            <w:tcW w:w="5745" w:type="dxa"/>
            <w:vAlign w:val="center"/>
          </w:tcPr>
          <w:p w14:paraId="79934616">
            <w:pPr>
              <w:keepNext w:val="0"/>
              <w:keepLines w:val="0"/>
              <w:suppressLineNumbers w:val="0"/>
              <w:spacing w:before="0" w:beforeAutospacing="0" w:after="0" w:afterAutospacing="0"/>
              <w:ind w:left="0" w:right="0"/>
              <w:jc w:val="left"/>
              <w:rPr>
                <w:rFonts w:hint="default" w:ascii="宋体" w:hAnsi="宋体" w:cs="宋体"/>
                <w:color w:val="auto"/>
                <w:sz w:val="24"/>
              </w:rPr>
            </w:pPr>
            <w:r>
              <w:rPr>
                <w:rFonts w:hint="eastAsia" w:ascii="宋体" w:hAnsi="宋体" w:cs="宋体"/>
                <w:color w:val="auto"/>
                <w:sz w:val="24"/>
                <w:lang w:eastAsia="zh-CN"/>
              </w:rPr>
              <w:t>最高投标限价</w:t>
            </w:r>
            <w:r>
              <w:rPr>
                <w:rFonts w:hint="eastAsia" w:ascii="宋体" w:hAnsi="宋体" w:cs="宋体"/>
                <w:color w:val="auto"/>
                <w:sz w:val="24"/>
              </w:rPr>
              <w:t>编制执行：</w:t>
            </w:r>
          </w:p>
          <w:p w14:paraId="15EF2A76">
            <w:pPr>
              <w:keepNext w:val="0"/>
              <w:keepLines w:val="0"/>
              <w:widowControl/>
              <w:suppressLineNumbers w:val="0"/>
              <w:spacing w:before="0" w:beforeAutospacing="0" w:after="0" w:afterAutospacing="0" w:line="360" w:lineRule="exact"/>
              <w:ind w:left="0" w:right="0"/>
              <w:jc w:val="left"/>
              <w:rPr>
                <w:rFonts w:hint="default" w:cs="宋体"/>
                <w:color w:val="auto"/>
                <w:sz w:val="24"/>
              </w:rPr>
            </w:pPr>
            <w:r>
              <w:rPr>
                <w:rFonts w:hint="eastAsia" w:cs="宋体"/>
                <w:color w:val="auto"/>
                <w:sz w:val="24"/>
              </w:rPr>
              <w:t>1.招标文件（包括招标工程量清单、合同条款、招标图纸、技术标准规范等）及其补遗、澄清或修改；</w:t>
            </w:r>
          </w:p>
          <w:p w14:paraId="515126B8">
            <w:pPr>
              <w:keepNext w:val="0"/>
              <w:keepLines w:val="0"/>
              <w:widowControl/>
              <w:suppressLineNumbers w:val="0"/>
              <w:wordWrap w:val="0"/>
              <w:spacing w:before="0" w:beforeAutospacing="0" w:after="0" w:afterAutospacing="0" w:line="360" w:lineRule="exact"/>
              <w:ind w:left="0" w:right="0"/>
              <w:jc w:val="left"/>
              <w:rPr>
                <w:rFonts w:hint="default" w:cs="宋体"/>
                <w:color w:val="auto"/>
                <w:sz w:val="24"/>
              </w:rPr>
            </w:pPr>
            <w:r>
              <w:rPr>
                <w:rFonts w:hint="eastAsia" w:cs="宋体"/>
                <w:color w:val="auto"/>
                <w:sz w:val="24"/>
              </w:rPr>
              <w:t>2.《建设工程工程量清单计价标准》（GB/T50500-2024）及《房屋建筑与装饰工程工程量计算标准》（GB/T50854-2024）工程量计算标准。省住房和城乡建设厅关于实施《建设工程工程量清单计价标准》（GB/T50500-2024）及9本工程量计算标准有关事宜的公告（2025）第12号；</w:t>
            </w:r>
          </w:p>
          <w:p w14:paraId="4A5CD258">
            <w:pPr>
              <w:keepNext w:val="0"/>
              <w:keepLines w:val="0"/>
              <w:widowControl/>
              <w:suppressLineNumbers w:val="0"/>
              <w:spacing w:before="0" w:beforeAutospacing="0" w:after="0" w:afterAutospacing="0" w:line="360" w:lineRule="exact"/>
              <w:ind w:left="0" w:right="0"/>
              <w:jc w:val="left"/>
              <w:rPr>
                <w:rFonts w:hint="default" w:cs="宋体"/>
                <w:color w:val="auto"/>
                <w:sz w:val="24"/>
              </w:rPr>
            </w:pPr>
            <w:r>
              <w:rPr>
                <w:rFonts w:hint="eastAsia" w:cs="宋体"/>
                <w:color w:val="auto"/>
                <w:sz w:val="24"/>
              </w:rPr>
              <w:t>3.《江苏省建筑与装饰工程消耗量》《江苏省建设工程费用参考》及《江苏建设工程施工机具台班费用参考表》；</w:t>
            </w:r>
          </w:p>
          <w:p w14:paraId="67EF197B">
            <w:pPr>
              <w:keepNext w:val="0"/>
              <w:keepLines w:val="0"/>
              <w:widowControl/>
              <w:suppressLineNumbers w:val="0"/>
              <w:spacing w:before="0" w:beforeAutospacing="0" w:after="0" w:afterAutospacing="0" w:line="360" w:lineRule="exact"/>
              <w:ind w:left="0" w:right="0"/>
              <w:jc w:val="left"/>
              <w:rPr>
                <w:rFonts w:hint="default" w:cs="宋体"/>
                <w:color w:val="auto"/>
                <w:sz w:val="24"/>
              </w:rPr>
            </w:pPr>
            <w:r>
              <w:rPr>
                <w:rFonts w:hint="eastAsia" w:cs="宋体"/>
                <w:color w:val="auto"/>
                <w:sz w:val="24"/>
              </w:rPr>
              <w:t>4.2026年</w:t>
            </w:r>
            <w:r>
              <w:rPr>
                <w:rFonts w:hint="eastAsia" w:cs="宋体"/>
                <w:color w:val="auto"/>
                <w:sz w:val="24"/>
                <w:lang w:val="en-US" w:eastAsia="zh-CN"/>
              </w:rPr>
              <w:t>8</w:t>
            </w:r>
            <w:r>
              <w:rPr>
                <w:rFonts w:hint="eastAsia" w:cs="宋体"/>
                <w:color w:val="auto"/>
                <w:sz w:val="24"/>
              </w:rPr>
              <w:t>月南通市建设工程主要材料价格指数；</w:t>
            </w:r>
          </w:p>
          <w:p w14:paraId="124AC2F1">
            <w:pPr>
              <w:keepNext w:val="0"/>
              <w:keepLines w:val="0"/>
              <w:widowControl/>
              <w:suppressLineNumbers w:val="0"/>
              <w:spacing w:before="0" w:beforeAutospacing="0" w:after="0" w:afterAutospacing="0" w:line="360" w:lineRule="exact"/>
              <w:ind w:left="0" w:right="0"/>
              <w:jc w:val="left"/>
              <w:rPr>
                <w:rFonts w:hint="default" w:cs="宋体"/>
                <w:color w:val="auto"/>
                <w:sz w:val="24"/>
              </w:rPr>
            </w:pPr>
            <w:r>
              <w:rPr>
                <w:rFonts w:hint="eastAsia" w:cs="宋体"/>
                <w:color w:val="auto"/>
                <w:sz w:val="24"/>
              </w:rPr>
              <w:t>5.《省住房和城乡建设厅关于发布2026年上半年建设工程人工工资指导价的通知》（苏建函价〔202</w:t>
            </w:r>
            <w:r>
              <w:rPr>
                <w:rFonts w:hint="default" w:cs="宋体"/>
                <w:color w:val="auto"/>
                <w:sz w:val="24"/>
              </w:rPr>
              <w:t>6</w:t>
            </w:r>
            <w:r>
              <w:rPr>
                <w:rFonts w:hint="eastAsia" w:cs="宋体"/>
                <w:color w:val="auto"/>
                <w:sz w:val="24"/>
              </w:rPr>
              <w:t>〕</w:t>
            </w:r>
            <w:r>
              <w:rPr>
                <w:rFonts w:hint="default" w:cs="宋体"/>
                <w:color w:val="auto"/>
                <w:sz w:val="24"/>
              </w:rPr>
              <w:t>27</w:t>
            </w:r>
            <w:r>
              <w:rPr>
                <w:rFonts w:hint="eastAsia" w:cs="宋体"/>
                <w:color w:val="auto"/>
                <w:sz w:val="24"/>
              </w:rPr>
              <w:t>号）；</w:t>
            </w:r>
          </w:p>
          <w:p w14:paraId="691E2B82">
            <w:pPr>
              <w:keepNext w:val="0"/>
              <w:keepLines w:val="0"/>
              <w:widowControl/>
              <w:suppressLineNumbers w:val="0"/>
              <w:spacing w:before="0" w:beforeAutospacing="0" w:after="0" w:afterAutospacing="0" w:line="360" w:lineRule="exact"/>
              <w:ind w:left="0" w:right="0"/>
              <w:jc w:val="left"/>
              <w:rPr>
                <w:rFonts w:hint="default" w:cs="宋体"/>
                <w:color w:val="auto"/>
                <w:sz w:val="24"/>
              </w:rPr>
            </w:pPr>
            <w:r>
              <w:rPr>
                <w:rFonts w:hint="eastAsia" w:cs="宋体"/>
                <w:color w:val="auto"/>
                <w:sz w:val="24"/>
              </w:rPr>
              <w:t>6.国家及省级、行业建设主管部门颁发的工程计量与计价相关规定，以及根据工程需要补充的工程量计算规则；</w:t>
            </w:r>
          </w:p>
          <w:p w14:paraId="3D4F2E38">
            <w:pPr>
              <w:keepNext w:val="0"/>
              <w:keepLines w:val="0"/>
              <w:suppressLineNumbers w:val="0"/>
              <w:spacing w:before="0" w:beforeAutospacing="0" w:after="0" w:afterAutospacing="0"/>
              <w:ind w:left="0" w:right="0"/>
              <w:jc w:val="left"/>
              <w:rPr>
                <w:rFonts w:hint="default" w:ascii="宋体" w:hAnsi="宋体" w:cs="宋体"/>
                <w:color w:val="auto"/>
                <w:kern w:val="0"/>
                <w:sz w:val="24"/>
              </w:rPr>
            </w:pPr>
            <w:r>
              <w:rPr>
                <w:rFonts w:hint="eastAsia" w:cs="宋体"/>
                <w:color w:val="auto"/>
                <w:sz w:val="24"/>
              </w:rPr>
              <w:t>7.答疑、补充通知或澄清文件。</w:t>
            </w:r>
          </w:p>
        </w:tc>
      </w:tr>
      <w:tr w14:paraId="4068C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814" w:type="dxa"/>
            <w:vAlign w:val="center"/>
          </w:tcPr>
          <w:p w14:paraId="5DE7438B">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15</w:t>
            </w:r>
          </w:p>
        </w:tc>
        <w:tc>
          <w:tcPr>
            <w:tcW w:w="992" w:type="dxa"/>
            <w:vAlign w:val="center"/>
          </w:tcPr>
          <w:p w14:paraId="78547AE2">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18.4</w:t>
            </w:r>
          </w:p>
        </w:tc>
        <w:tc>
          <w:tcPr>
            <w:tcW w:w="1843" w:type="dxa"/>
            <w:vAlign w:val="center"/>
          </w:tcPr>
          <w:p w14:paraId="5B5D0897">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cs="宋体"/>
                <w:color w:val="auto"/>
                <w:sz w:val="24"/>
              </w:rPr>
              <w:t>最高投标限价</w:t>
            </w:r>
          </w:p>
        </w:tc>
        <w:tc>
          <w:tcPr>
            <w:tcW w:w="5745" w:type="dxa"/>
            <w:vAlign w:val="center"/>
          </w:tcPr>
          <w:p w14:paraId="37C20DA5">
            <w:pPr>
              <w:keepNext w:val="0"/>
              <w:keepLines w:val="0"/>
              <w:suppressLineNumbers w:val="0"/>
              <w:spacing w:before="0" w:beforeAutospacing="0" w:after="0" w:afterAutospacing="0"/>
              <w:ind w:left="0" w:right="0"/>
              <w:jc w:val="left"/>
              <w:rPr>
                <w:rFonts w:hint="default" w:ascii="宋体" w:hAnsi="宋体" w:cs="宋体"/>
                <w:color w:val="auto"/>
                <w:sz w:val="24"/>
              </w:rPr>
            </w:pPr>
            <w:r>
              <w:rPr>
                <w:rFonts w:hint="eastAsia" w:ascii="宋体" w:hAnsi="宋体" w:cs="宋体"/>
                <w:color w:val="auto"/>
                <w:sz w:val="24"/>
              </w:rPr>
              <w:t>本工程</w:t>
            </w:r>
            <w:r>
              <w:rPr>
                <w:rFonts w:hint="eastAsia" w:ascii="宋体" w:hAnsi="宋体" w:cs="宋体"/>
                <w:color w:val="auto"/>
                <w:sz w:val="24"/>
                <w:lang w:eastAsia="zh-CN"/>
              </w:rPr>
              <w:t>最高投标限价</w:t>
            </w:r>
            <w:r>
              <w:rPr>
                <w:rFonts w:hint="eastAsia" w:ascii="宋体" w:hAnsi="宋体" w:cs="宋体"/>
                <w:color w:val="auto"/>
                <w:sz w:val="24"/>
              </w:rPr>
              <w:t>：</w:t>
            </w:r>
            <w:r>
              <w:rPr>
                <w:rFonts w:hint="eastAsia" w:ascii="宋体" w:hAnsi="宋体" w:cs="宋体"/>
                <w:b/>
                <w:bCs/>
                <w:color w:val="auto"/>
                <w:sz w:val="24"/>
                <w:szCs w:val="24"/>
                <w:u w:val="single"/>
                <w:lang w:val="en-US" w:eastAsia="zh-CN"/>
              </w:rPr>
              <w:t xml:space="preserve"> </w:t>
            </w:r>
            <w:r>
              <w:rPr>
                <w:rFonts w:hint="eastAsia" w:ascii="宋体" w:hAnsi="宋体" w:eastAsia="宋体" w:cs="Times New Roman"/>
                <w:b/>
                <w:bCs/>
                <w:color w:val="auto"/>
                <w:kern w:val="2"/>
                <w:sz w:val="24"/>
                <w:szCs w:val="24"/>
                <w:u w:val="single"/>
                <w:lang w:val="en-US" w:eastAsia="zh-CN" w:bidi="ar"/>
              </w:rPr>
              <w:t>393554.09</w:t>
            </w:r>
            <w:r>
              <w:rPr>
                <w:rFonts w:hint="eastAsia" w:ascii="宋体" w:hAnsi="宋体" w:cs="宋体"/>
                <w:b/>
                <w:bCs/>
                <w:color w:val="auto"/>
                <w:sz w:val="24"/>
                <w:szCs w:val="24"/>
                <w:u w:val="single"/>
                <w:lang w:val="en-US" w:eastAsia="zh-CN"/>
              </w:rPr>
              <w:t xml:space="preserve"> </w:t>
            </w:r>
            <w:r>
              <w:rPr>
                <w:rFonts w:hint="eastAsia" w:ascii="宋体" w:hAnsi="宋体" w:cs="宋体"/>
                <w:color w:val="auto"/>
                <w:sz w:val="24"/>
                <w:szCs w:val="24"/>
              </w:rPr>
              <w:t>元</w:t>
            </w:r>
            <w:r>
              <w:rPr>
                <w:rFonts w:hint="eastAsia" w:ascii="宋体" w:hAnsi="宋体" w:cs="宋体"/>
                <w:color w:val="auto"/>
                <w:sz w:val="24"/>
              </w:rPr>
              <w:t>。</w:t>
            </w:r>
          </w:p>
        </w:tc>
      </w:tr>
      <w:tr w14:paraId="42E5B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jc w:val="center"/>
        </w:trPr>
        <w:tc>
          <w:tcPr>
            <w:tcW w:w="814" w:type="dxa"/>
            <w:vAlign w:val="center"/>
          </w:tcPr>
          <w:p w14:paraId="01D4A942">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16</w:t>
            </w:r>
          </w:p>
        </w:tc>
        <w:tc>
          <w:tcPr>
            <w:tcW w:w="992" w:type="dxa"/>
            <w:vAlign w:val="center"/>
          </w:tcPr>
          <w:p w14:paraId="1088DB46">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20.1</w:t>
            </w:r>
          </w:p>
        </w:tc>
        <w:tc>
          <w:tcPr>
            <w:tcW w:w="1843" w:type="dxa"/>
            <w:vAlign w:val="center"/>
          </w:tcPr>
          <w:p w14:paraId="7B4AED68">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投标</w:t>
            </w:r>
          </w:p>
          <w:p w14:paraId="7ACB75BF">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文件份数</w:t>
            </w:r>
          </w:p>
        </w:tc>
        <w:tc>
          <w:tcPr>
            <w:tcW w:w="5745" w:type="dxa"/>
            <w:vAlign w:val="center"/>
          </w:tcPr>
          <w:p w14:paraId="2BCA2AC3">
            <w:pPr>
              <w:keepNext w:val="0"/>
              <w:keepLines w:val="0"/>
              <w:suppressLineNumbers w:val="0"/>
              <w:spacing w:before="0" w:beforeAutospacing="0" w:after="0" w:afterAutospacing="0"/>
              <w:ind w:left="0" w:right="0"/>
              <w:jc w:val="left"/>
              <w:rPr>
                <w:rFonts w:hint="default" w:ascii="宋体" w:hAnsi="宋体"/>
                <w:color w:val="auto"/>
                <w:sz w:val="24"/>
              </w:rPr>
            </w:pPr>
            <w:r>
              <w:rPr>
                <w:rFonts w:hint="eastAsia" w:ascii="宋体" w:hAnsi="宋体"/>
                <w:color w:val="auto"/>
                <w:sz w:val="24"/>
              </w:rPr>
              <w:t>资格审查文件：壹份正本，贰份副本。</w:t>
            </w:r>
          </w:p>
          <w:p w14:paraId="72AB2293">
            <w:pPr>
              <w:keepNext w:val="0"/>
              <w:keepLines w:val="0"/>
              <w:suppressLineNumbers w:val="0"/>
              <w:spacing w:before="0" w:beforeAutospacing="0" w:after="0" w:afterAutospacing="0"/>
              <w:ind w:left="0" w:right="0"/>
              <w:jc w:val="left"/>
              <w:rPr>
                <w:rFonts w:hint="default" w:ascii="宋体" w:hAnsi="宋体"/>
                <w:color w:val="auto"/>
                <w:sz w:val="24"/>
              </w:rPr>
            </w:pPr>
            <w:r>
              <w:rPr>
                <w:rFonts w:hint="eastAsia" w:ascii="宋体" w:hAnsi="宋体"/>
                <w:color w:val="auto"/>
                <w:sz w:val="24"/>
              </w:rPr>
              <w:t>商务标：壹份正本，贰份副本。</w:t>
            </w:r>
          </w:p>
          <w:p w14:paraId="0094383D">
            <w:pPr>
              <w:keepNext w:val="0"/>
              <w:keepLines w:val="0"/>
              <w:suppressLineNumbers w:val="0"/>
              <w:spacing w:before="0" w:beforeAutospacing="0" w:after="0" w:afterAutospacing="0"/>
              <w:ind w:left="0" w:right="0"/>
              <w:jc w:val="left"/>
              <w:rPr>
                <w:rFonts w:hint="default" w:ascii="宋体" w:hAnsi="宋体" w:cs="宋体"/>
                <w:color w:val="auto"/>
                <w:sz w:val="24"/>
              </w:rPr>
            </w:pPr>
            <w:r>
              <w:rPr>
                <w:rFonts w:hint="eastAsia" w:ascii="宋体" w:hAnsi="宋体"/>
                <w:b/>
                <w:bCs/>
                <w:color w:val="auto"/>
                <w:sz w:val="24"/>
              </w:rPr>
              <w:t>请各投标人按照招标文件要求准确提供全部资料，并对全部资料的真实性负责。若投标文件内容存在字迹迷糊、分辨不清等情形时，评标委员会有权作否决投标处理，并由投标人自行承担相关风险和（法律）责任。</w:t>
            </w:r>
          </w:p>
        </w:tc>
      </w:tr>
      <w:tr w14:paraId="09504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14" w:type="dxa"/>
            <w:vAlign w:val="center"/>
          </w:tcPr>
          <w:p w14:paraId="2CBD4911">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17</w:t>
            </w:r>
          </w:p>
        </w:tc>
        <w:tc>
          <w:tcPr>
            <w:tcW w:w="992" w:type="dxa"/>
            <w:vAlign w:val="center"/>
          </w:tcPr>
          <w:p w14:paraId="1DE29F63">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21</w:t>
            </w:r>
          </w:p>
        </w:tc>
        <w:tc>
          <w:tcPr>
            <w:tcW w:w="1843" w:type="dxa"/>
            <w:vAlign w:val="center"/>
          </w:tcPr>
          <w:p w14:paraId="16EEA425">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投标文件提交地点及截止时间</w:t>
            </w:r>
          </w:p>
        </w:tc>
        <w:tc>
          <w:tcPr>
            <w:tcW w:w="5745" w:type="dxa"/>
            <w:vAlign w:val="center"/>
          </w:tcPr>
          <w:p w14:paraId="1F660EB6">
            <w:pPr>
              <w:pStyle w:val="56"/>
              <w:keepNext w:val="0"/>
              <w:keepLines w:val="0"/>
              <w:suppressLineNumbers w:val="0"/>
              <w:spacing w:before="0" w:beforeAutospacing="0" w:after="0" w:afterAutospacing="0"/>
              <w:ind w:left="0" w:right="0"/>
              <w:rPr>
                <w:rFonts w:hint="default"/>
                <w:color w:val="auto"/>
              </w:rPr>
            </w:pPr>
            <w:r>
              <w:rPr>
                <w:rFonts w:hint="default"/>
                <w:color w:val="auto"/>
              </w:rPr>
              <w:t>接收人：</w:t>
            </w:r>
            <w:r>
              <w:rPr>
                <w:rFonts w:hint="eastAsia"/>
                <w:color w:val="auto"/>
              </w:rPr>
              <w:t>江苏中房工程咨询有限公司</w:t>
            </w:r>
            <w:r>
              <w:rPr>
                <w:rFonts w:hint="default"/>
                <w:color w:val="auto"/>
              </w:rPr>
              <w:t>；</w:t>
            </w:r>
          </w:p>
          <w:p w14:paraId="4C979104">
            <w:pPr>
              <w:pStyle w:val="56"/>
              <w:keepNext w:val="0"/>
              <w:keepLines w:val="0"/>
              <w:suppressLineNumbers w:val="0"/>
              <w:spacing w:before="0" w:beforeAutospacing="0" w:after="0" w:afterAutospacing="0"/>
              <w:ind w:left="0" w:right="0"/>
              <w:rPr>
                <w:rFonts w:hint="default"/>
                <w:color w:val="auto"/>
              </w:rPr>
            </w:pPr>
            <w:r>
              <w:rPr>
                <w:rFonts w:hint="default"/>
                <w:color w:val="auto"/>
              </w:rPr>
              <w:t>接收截止时间：</w:t>
            </w:r>
            <w:r>
              <w:rPr>
                <w:rFonts w:hint="eastAsia"/>
                <w:b/>
                <w:color w:val="auto"/>
                <w:u w:val="thick" w:color="FF0000"/>
              </w:rPr>
              <w:t>202</w:t>
            </w:r>
            <w:r>
              <w:rPr>
                <w:rFonts w:hint="eastAsia"/>
                <w:b/>
                <w:color w:val="auto"/>
                <w:u w:val="thick" w:color="FF0000"/>
                <w:lang w:val="en-US" w:eastAsia="zh-CN"/>
              </w:rPr>
              <w:t>6</w:t>
            </w:r>
            <w:r>
              <w:rPr>
                <w:rFonts w:hint="eastAsia"/>
                <w:b/>
                <w:color w:val="auto"/>
                <w:u w:val="thick" w:color="FF0000"/>
              </w:rPr>
              <w:t>年</w:t>
            </w:r>
            <w:r>
              <w:rPr>
                <w:rFonts w:hint="eastAsia"/>
                <w:b/>
                <w:color w:val="auto"/>
                <w:u w:val="thick" w:color="FF0000"/>
                <w:lang w:val="en-US" w:eastAsia="zh-CN"/>
              </w:rPr>
              <w:t>10</w:t>
            </w:r>
            <w:r>
              <w:rPr>
                <w:rFonts w:hint="eastAsia"/>
                <w:b/>
                <w:color w:val="auto"/>
                <w:u w:val="thick" w:color="FF0000"/>
              </w:rPr>
              <w:t>月</w:t>
            </w:r>
            <w:r>
              <w:rPr>
                <w:rFonts w:hint="eastAsia"/>
                <w:b/>
                <w:color w:val="auto"/>
                <w:u w:val="thick" w:color="FF0000"/>
                <w:lang w:val="en-US" w:eastAsia="zh-CN"/>
              </w:rPr>
              <w:t>22</w:t>
            </w:r>
            <w:r>
              <w:rPr>
                <w:rFonts w:hint="eastAsia"/>
                <w:b/>
                <w:color w:val="auto"/>
                <w:u w:val="thick" w:color="FF0000"/>
              </w:rPr>
              <w:t>日</w:t>
            </w:r>
            <w:r>
              <w:rPr>
                <w:rFonts w:hint="eastAsia"/>
                <w:b/>
                <w:color w:val="auto"/>
                <w:u w:val="thick" w:color="FF0000"/>
                <w:lang w:val="en-US" w:eastAsia="zh-CN"/>
              </w:rPr>
              <w:t>14</w:t>
            </w:r>
            <w:r>
              <w:rPr>
                <w:rFonts w:hint="eastAsia"/>
                <w:b/>
                <w:color w:val="auto"/>
                <w:u w:val="thick" w:color="FF0000"/>
              </w:rPr>
              <w:t>时30分</w:t>
            </w:r>
            <w:r>
              <w:rPr>
                <w:rFonts w:hint="default"/>
                <w:color w:val="auto"/>
              </w:rPr>
              <w:t>前</w:t>
            </w:r>
            <w:r>
              <w:rPr>
                <w:rFonts w:hint="eastAsia"/>
                <w:color w:val="auto"/>
              </w:rPr>
              <w:t>；</w:t>
            </w:r>
          </w:p>
          <w:p w14:paraId="3375D952">
            <w:pPr>
              <w:pStyle w:val="56"/>
              <w:keepNext w:val="0"/>
              <w:keepLines w:val="0"/>
              <w:suppressLineNumbers w:val="0"/>
              <w:spacing w:before="0" w:beforeAutospacing="0" w:after="0" w:afterAutospacing="0"/>
              <w:ind w:left="0" w:right="0"/>
              <w:rPr>
                <w:rFonts w:hint="default" w:cs="宋体"/>
                <w:b/>
                <w:snapToGrid w:val="0"/>
                <w:color w:val="auto"/>
                <w:kern w:val="0"/>
              </w:rPr>
            </w:pPr>
            <w:r>
              <w:rPr>
                <w:rFonts w:hint="default"/>
                <w:color w:val="auto"/>
              </w:rPr>
              <w:t>地址：南通市崇川区</w:t>
            </w:r>
            <w:r>
              <w:rPr>
                <w:rFonts w:hint="eastAsia"/>
                <w:color w:val="auto"/>
              </w:rPr>
              <w:t>江海大道8</w:t>
            </w:r>
            <w:r>
              <w:rPr>
                <w:rFonts w:hint="default"/>
                <w:color w:val="auto"/>
              </w:rPr>
              <w:t>17</w:t>
            </w:r>
            <w:r>
              <w:rPr>
                <w:rFonts w:hint="eastAsia"/>
                <w:color w:val="auto"/>
              </w:rPr>
              <w:t>号江海财富大厦A座7楼702</w:t>
            </w:r>
            <w:r>
              <w:rPr>
                <w:rFonts w:hint="default"/>
                <w:color w:val="auto"/>
              </w:rPr>
              <w:t>-5</w:t>
            </w:r>
            <w:r>
              <w:rPr>
                <w:rFonts w:hint="eastAsia"/>
                <w:color w:val="auto"/>
              </w:rPr>
              <w:t>会议室。</w:t>
            </w:r>
          </w:p>
        </w:tc>
      </w:tr>
      <w:tr w14:paraId="42871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6" w:hRule="atLeast"/>
          <w:jc w:val="center"/>
        </w:trPr>
        <w:tc>
          <w:tcPr>
            <w:tcW w:w="814" w:type="dxa"/>
            <w:vAlign w:val="center"/>
          </w:tcPr>
          <w:p w14:paraId="43E9362F">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18</w:t>
            </w:r>
          </w:p>
        </w:tc>
        <w:tc>
          <w:tcPr>
            <w:tcW w:w="992" w:type="dxa"/>
            <w:vAlign w:val="center"/>
          </w:tcPr>
          <w:p w14:paraId="2FC356A1">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24</w:t>
            </w:r>
          </w:p>
        </w:tc>
        <w:tc>
          <w:tcPr>
            <w:tcW w:w="1843" w:type="dxa"/>
            <w:vAlign w:val="center"/>
          </w:tcPr>
          <w:p w14:paraId="0354D188">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开标</w:t>
            </w:r>
          </w:p>
        </w:tc>
        <w:tc>
          <w:tcPr>
            <w:tcW w:w="5745" w:type="dxa"/>
            <w:vAlign w:val="center"/>
          </w:tcPr>
          <w:p w14:paraId="5BD085A8">
            <w:pPr>
              <w:keepNext w:val="0"/>
              <w:keepLines w:val="0"/>
              <w:suppressLineNumbers w:val="0"/>
              <w:spacing w:before="0" w:beforeAutospacing="0" w:after="0" w:afterAutospacing="0"/>
              <w:ind w:left="0" w:right="0"/>
              <w:jc w:val="left"/>
              <w:rPr>
                <w:rFonts w:hint="default" w:ascii="宋体" w:hAnsi="宋体"/>
                <w:color w:val="auto"/>
                <w:sz w:val="24"/>
              </w:rPr>
            </w:pPr>
            <w:r>
              <w:rPr>
                <w:rFonts w:hint="eastAsia" w:ascii="宋体" w:hAnsi="宋体"/>
                <w:color w:val="auto"/>
                <w:sz w:val="24"/>
              </w:rPr>
              <w:t>开标时间：</w:t>
            </w:r>
            <w:r>
              <w:rPr>
                <w:rFonts w:hint="eastAsia" w:ascii="宋体" w:hAnsi="宋体" w:eastAsia="宋体" w:cs="Times New Roman"/>
                <w:b/>
                <w:color w:val="auto"/>
                <w:kern w:val="2"/>
                <w:sz w:val="24"/>
                <w:szCs w:val="24"/>
                <w:u w:val="thick" w:color="FF0000"/>
                <w:lang w:val="en-US" w:eastAsia="zh-CN" w:bidi="ar-SA"/>
              </w:rPr>
              <w:t>2026年10月22日14时30分</w:t>
            </w:r>
            <w:r>
              <w:rPr>
                <w:rFonts w:hint="eastAsia" w:ascii="宋体" w:hAnsi="宋体"/>
                <w:color w:val="auto"/>
                <w:sz w:val="24"/>
              </w:rPr>
              <w:t>；</w:t>
            </w:r>
          </w:p>
          <w:p w14:paraId="2FF93FB9">
            <w:pPr>
              <w:keepNext w:val="0"/>
              <w:keepLines w:val="0"/>
              <w:suppressLineNumbers w:val="0"/>
              <w:spacing w:before="0" w:beforeAutospacing="0" w:after="0" w:afterAutospacing="0"/>
              <w:ind w:left="0" w:right="0"/>
              <w:jc w:val="left"/>
              <w:rPr>
                <w:rFonts w:hint="default" w:ascii="宋体" w:hAnsi="宋体" w:cs="宋体"/>
                <w:color w:val="auto"/>
                <w:sz w:val="24"/>
                <w:u w:val="single"/>
              </w:rPr>
            </w:pPr>
            <w:r>
              <w:rPr>
                <w:rFonts w:hint="eastAsia" w:ascii="宋体" w:hAnsi="宋体"/>
                <w:color w:val="auto"/>
                <w:sz w:val="24"/>
              </w:rPr>
              <w:t>开标地点：南通市崇川区江海大道817号江海财富大厦A座7楼702</w:t>
            </w:r>
            <w:r>
              <w:rPr>
                <w:rFonts w:hint="default" w:ascii="宋体" w:hAnsi="宋体"/>
                <w:color w:val="auto"/>
                <w:sz w:val="24"/>
              </w:rPr>
              <w:t>-5</w:t>
            </w:r>
            <w:r>
              <w:rPr>
                <w:rFonts w:hint="eastAsia" w:ascii="宋体" w:hAnsi="宋体"/>
                <w:color w:val="auto"/>
                <w:sz w:val="24"/>
              </w:rPr>
              <w:t>会议室。</w:t>
            </w:r>
          </w:p>
        </w:tc>
      </w:tr>
      <w:tr w14:paraId="1BD09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814" w:type="dxa"/>
            <w:vAlign w:val="center"/>
          </w:tcPr>
          <w:p w14:paraId="3A5F9FA3">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19</w:t>
            </w:r>
          </w:p>
        </w:tc>
        <w:tc>
          <w:tcPr>
            <w:tcW w:w="992" w:type="dxa"/>
            <w:vAlign w:val="center"/>
          </w:tcPr>
          <w:p w14:paraId="1C60D11B">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25</w:t>
            </w:r>
          </w:p>
        </w:tc>
        <w:tc>
          <w:tcPr>
            <w:tcW w:w="1843" w:type="dxa"/>
            <w:vAlign w:val="center"/>
          </w:tcPr>
          <w:p w14:paraId="5CF041B7">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评标委员会</w:t>
            </w:r>
          </w:p>
        </w:tc>
        <w:tc>
          <w:tcPr>
            <w:tcW w:w="5745" w:type="dxa"/>
            <w:vAlign w:val="center"/>
          </w:tcPr>
          <w:p w14:paraId="0D06194C">
            <w:pPr>
              <w:keepNext w:val="0"/>
              <w:keepLines w:val="0"/>
              <w:suppressLineNumbers w:val="0"/>
              <w:spacing w:before="0" w:beforeAutospacing="0" w:after="0" w:afterAutospacing="0"/>
              <w:ind w:left="0" w:right="0"/>
              <w:jc w:val="left"/>
              <w:rPr>
                <w:rFonts w:hint="default" w:ascii="宋体" w:hAnsi="宋体" w:cs="宋体"/>
                <w:b/>
                <w:snapToGrid w:val="0"/>
                <w:color w:val="auto"/>
                <w:kern w:val="0"/>
                <w:sz w:val="24"/>
              </w:rPr>
            </w:pPr>
            <w:r>
              <w:rPr>
                <w:rFonts w:hint="eastAsia" w:asciiTheme="minorEastAsia" w:hAnsiTheme="minorEastAsia" w:eastAsiaTheme="minorEastAsia"/>
                <w:color w:val="auto"/>
                <w:sz w:val="24"/>
              </w:rPr>
              <w:t>评标委员会由招标人依法组建。</w:t>
            </w:r>
          </w:p>
        </w:tc>
      </w:tr>
      <w:tr w14:paraId="53A4C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814" w:type="dxa"/>
            <w:vAlign w:val="center"/>
          </w:tcPr>
          <w:p w14:paraId="2CAAA689">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20</w:t>
            </w:r>
          </w:p>
        </w:tc>
        <w:tc>
          <w:tcPr>
            <w:tcW w:w="992" w:type="dxa"/>
            <w:vAlign w:val="center"/>
          </w:tcPr>
          <w:p w14:paraId="6A4C69E5">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35</w:t>
            </w:r>
          </w:p>
        </w:tc>
        <w:tc>
          <w:tcPr>
            <w:tcW w:w="1843" w:type="dxa"/>
            <w:vAlign w:val="center"/>
          </w:tcPr>
          <w:p w14:paraId="3F0794AC">
            <w:pPr>
              <w:keepNext w:val="0"/>
              <w:keepLines w:val="0"/>
              <w:suppressLineNumbers w:val="0"/>
              <w:spacing w:before="0" w:beforeAutospacing="0" w:after="0" w:afterAutospacing="0"/>
              <w:ind w:left="0" w:right="0"/>
              <w:jc w:val="center"/>
              <w:rPr>
                <w:rFonts w:hint="eastAsia" w:ascii="宋体" w:hAnsi="宋体" w:eastAsia="宋体" w:cs="宋体"/>
                <w:color w:val="auto"/>
                <w:sz w:val="24"/>
                <w:lang w:eastAsia="zh-CN"/>
              </w:rPr>
            </w:pPr>
            <w:r>
              <w:rPr>
                <w:rFonts w:hint="eastAsia" w:ascii="宋体" w:hAnsi="宋体" w:cs="宋体"/>
                <w:color w:val="auto"/>
                <w:sz w:val="24"/>
              </w:rPr>
              <w:t>履约</w:t>
            </w:r>
            <w:r>
              <w:rPr>
                <w:rFonts w:hint="eastAsia" w:ascii="宋体" w:hAnsi="宋体" w:cs="宋体"/>
                <w:color w:val="auto"/>
                <w:sz w:val="24"/>
                <w:lang w:eastAsia="zh-CN"/>
              </w:rPr>
              <w:t>担保</w:t>
            </w:r>
          </w:p>
        </w:tc>
        <w:tc>
          <w:tcPr>
            <w:tcW w:w="5745" w:type="dxa"/>
            <w:vAlign w:val="center"/>
          </w:tcPr>
          <w:p w14:paraId="112223FD">
            <w:pPr>
              <w:keepNext w:val="0"/>
              <w:keepLines w:val="0"/>
              <w:suppressLineNumbers w:val="0"/>
              <w:spacing w:before="0" w:beforeAutospacing="0" w:after="0" w:afterAutospacing="0"/>
              <w:ind w:left="0" w:right="0"/>
              <w:jc w:val="left"/>
              <w:rPr>
                <w:rFonts w:hint="default" w:ascii="宋体" w:hAnsi="宋体" w:cs="宋体"/>
                <w:color w:val="auto"/>
                <w:sz w:val="24"/>
              </w:rPr>
            </w:pPr>
            <w:r>
              <w:rPr>
                <w:rFonts w:hint="eastAsia" w:ascii="宋体" w:hAnsi="宋体" w:cs="宋体"/>
                <w:color w:val="auto"/>
                <w:sz w:val="24"/>
              </w:rPr>
              <w:t>投标人提供的履约保证金为</w:t>
            </w:r>
            <w:r>
              <w:rPr>
                <w:rFonts w:hint="eastAsia" w:ascii="宋体" w:hAnsi="宋体"/>
                <w:color w:val="auto"/>
                <w:sz w:val="24"/>
              </w:rPr>
              <w:t>合同价的</w:t>
            </w:r>
            <w:r>
              <w:rPr>
                <w:rFonts w:hint="eastAsia" w:ascii="宋体" w:hAnsi="宋体"/>
                <w:color w:val="auto"/>
                <w:sz w:val="24"/>
                <w:lang w:val="en-US" w:eastAsia="zh-CN"/>
              </w:rPr>
              <w:t>5</w:t>
            </w:r>
            <w:r>
              <w:rPr>
                <w:rFonts w:hint="eastAsia" w:ascii="宋体" w:hAnsi="宋体"/>
                <w:color w:val="auto"/>
                <w:sz w:val="24"/>
              </w:rPr>
              <w:t>%，形式为转账。</w:t>
            </w:r>
          </w:p>
        </w:tc>
      </w:tr>
      <w:tr w14:paraId="647DD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4" w:type="dxa"/>
            <w:vAlign w:val="center"/>
          </w:tcPr>
          <w:p w14:paraId="0570D942">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21</w:t>
            </w:r>
          </w:p>
        </w:tc>
        <w:tc>
          <w:tcPr>
            <w:tcW w:w="2835" w:type="dxa"/>
            <w:gridSpan w:val="2"/>
            <w:tcBorders>
              <w:left w:val="single" w:color="auto" w:sz="4" w:space="0"/>
              <w:bottom w:val="single" w:color="auto" w:sz="4" w:space="0"/>
              <w:right w:val="single" w:color="auto" w:sz="4" w:space="0"/>
            </w:tcBorders>
            <w:vAlign w:val="center"/>
          </w:tcPr>
          <w:p w14:paraId="11AFFA6E">
            <w:pPr>
              <w:keepNext w:val="0"/>
              <w:keepLines w:val="0"/>
              <w:suppressLineNumbers w:val="0"/>
              <w:adjustRightInd w:val="0"/>
              <w:snapToGrid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招标单位</w:t>
            </w:r>
          </w:p>
        </w:tc>
        <w:tc>
          <w:tcPr>
            <w:tcW w:w="5745" w:type="dxa"/>
            <w:vAlign w:val="center"/>
          </w:tcPr>
          <w:p w14:paraId="49F9E0BE">
            <w:pPr>
              <w:keepNext w:val="0"/>
              <w:keepLines w:val="0"/>
              <w:suppressLineNumbers w:val="0"/>
              <w:spacing w:before="0" w:beforeAutospacing="0" w:after="0" w:afterAutospacing="0"/>
              <w:ind w:left="0" w:right="0"/>
              <w:jc w:val="left"/>
              <w:rPr>
                <w:rFonts w:hint="eastAsia" w:asciiTheme="minorEastAsia" w:hAnsiTheme="minorEastAsia" w:eastAsiaTheme="minorEastAsia"/>
                <w:color w:val="auto"/>
                <w:sz w:val="24"/>
                <w:lang w:eastAsia="zh-CN"/>
              </w:rPr>
            </w:pPr>
            <w:r>
              <w:rPr>
                <w:rFonts w:hint="eastAsia" w:asciiTheme="minorEastAsia" w:hAnsiTheme="minorEastAsia" w:eastAsiaTheme="minorEastAsia"/>
                <w:color w:val="auto"/>
                <w:sz w:val="24"/>
              </w:rPr>
              <w:t>招标人：</w:t>
            </w:r>
            <w:r>
              <w:rPr>
                <w:rFonts w:hint="eastAsia" w:asciiTheme="minorEastAsia" w:hAnsiTheme="minorEastAsia" w:eastAsiaTheme="minorEastAsia"/>
                <w:color w:val="auto"/>
                <w:sz w:val="24"/>
                <w:lang w:eastAsia="zh-CN"/>
              </w:rPr>
              <w:t>南通农副产品物流有限公司</w:t>
            </w:r>
          </w:p>
          <w:p w14:paraId="39A39A43">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地址：</w:t>
            </w:r>
            <w:r>
              <w:rPr>
                <w:rFonts w:hint="eastAsia" w:ascii="宋体" w:hAnsi="宋体"/>
                <w:color w:val="auto"/>
                <w:sz w:val="24"/>
              </w:rPr>
              <w:t>南通市崇川区崇川路777号</w:t>
            </w:r>
          </w:p>
          <w:p w14:paraId="3CC54486">
            <w:pPr>
              <w:keepNext w:val="0"/>
              <w:keepLines w:val="0"/>
              <w:suppressLineNumbers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联系人：</w:t>
            </w:r>
            <w:r>
              <w:rPr>
                <w:rFonts w:hint="eastAsia" w:asciiTheme="minorEastAsia" w:hAnsiTheme="minorEastAsia" w:eastAsiaTheme="minorEastAsia"/>
                <w:color w:val="auto"/>
                <w:sz w:val="24"/>
                <w:lang w:val="en-US" w:eastAsia="zh-CN"/>
              </w:rPr>
              <w:t>姚女士</w:t>
            </w:r>
          </w:p>
          <w:p w14:paraId="5410EDF7">
            <w:pPr>
              <w:keepNext w:val="0"/>
              <w:keepLines w:val="0"/>
              <w:suppressLineNumbers w:val="0"/>
              <w:spacing w:before="0" w:beforeAutospacing="0" w:after="0" w:afterAutospacing="0"/>
              <w:ind w:left="0" w:right="0"/>
              <w:jc w:val="left"/>
              <w:rPr>
                <w:rFonts w:hint="eastAsia" w:asciiTheme="minorEastAsia" w:hAnsiTheme="minorEastAsia" w:eastAsiaTheme="minorEastAsia"/>
                <w:color w:val="auto"/>
                <w:sz w:val="24"/>
                <w:lang w:val="en-US" w:eastAsia="zh-CN"/>
              </w:rPr>
            </w:pPr>
            <w:r>
              <w:rPr>
                <w:rFonts w:hint="eastAsia" w:asciiTheme="minorEastAsia" w:hAnsiTheme="minorEastAsia" w:eastAsiaTheme="minorEastAsia"/>
                <w:color w:val="auto"/>
                <w:sz w:val="24"/>
              </w:rPr>
              <w:t>联系电话：</w:t>
            </w:r>
            <w:r>
              <w:rPr>
                <w:rFonts w:hint="eastAsia" w:asciiTheme="minorEastAsia" w:hAnsiTheme="minorEastAsia" w:eastAsiaTheme="minorEastAsia"/>
                <w:color w:val="auto"/>
                <w:sz w:val="24"/>
                <w:lang w:val="en-US" w:eastAsia="zh-CN"/>
              </w:rPr>
              <w:t>15996533722</w:t>
            </w:r>
          </w:p>
          <w:p w14:paraId="45FE9A8E">
            <w:pPr>
              <w:keepNext w:val="0"/>
              <w:keepLines w:val="0"/>
              <w:suppressLineNumbers w:val="0"/>
              <w:spacing w:before="0" w:beforeAutospacing="0" w:after="0" w:afterAutospacing="0"/>
              <w:ind w:left="0" w:right="0"/>
              <w:jc w:val="left"/>
              <w:rPr>
                <w:rFonts w:hint="eastAsia" w:asciiTheme="minorEastAsia" w:hAnsiTheme="minorEastAsia" w:eastAsiaTheme="minorEastAsia"/>
                <w:color w:val="auto"/>
                <w:sz w:val="24"/>
                <w:lang w:val="en-US"/>
              </w:rPr>
            </w:pPr>
            <w:r>
              <w:rPr>
                <w:rFonts w:hint="eastAsia" w:asciiTheme="minorEastAsia" w:hAnsiTheme="minorEastAsia" w:eastAsiaTheme="minorEastAsia"/>
                <w:color w:val="auto"/>
                <w:sz w:val="24"/>
                <w:lang w:val="en-US" w:eastAsia="zh-CN"/>
              </w:rPr>
              <w:t>监督人：施女士</w:t>
            </w:r>
          </w:p>
          <w:p w14:paraId="1C986CEF">
            <w:pPr>
              <w:keepNext w:val="0"/>
              <w:keepLines w:val="0"/>
              <w:suppressLineNumbers w:val="0"/>
              <w:spacing w:before="0" w:beforeAutospacing="0" w:after="0" w:afterAutospacing="0"/>
              <w:ind w:left="0" w:right="0"/>
              <w:jc w:val="left"/>
              <w:rPr>
                <w:rFonts w:hint="default"/>
                <w:color w:val="auto"/>
              </w:rPr>
            </w:pPr>
            <w:r>
              <w:rPr>
                <w:rFonts w:hint="eastAsia" w:asciiTheme="minorEastAsia" w:hAnsiTheme="minorEastAsia" w:eastAsiaTheme="minorEastAsia"/>
                <w:color w:val="auto"/>
                <w:sz w:val="24"/>
                <w:lang w:val="en-US" w:eastAsia="zh-CN"/>
              </w:rPr>
              <w:t>电话：0513-89152209。</w:t>
            </w:r>
          </w:p>
        </w:tc>
      </w:tr>
      <w:tr w14:paraId="4819D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3" w:hRule="atLeast"/>
          <w:jc w:val="center"/>
        </w:trPr>
        <w:tc>
          <w:tcPr>
            <w:tcW w:w="814" w:type="dxa"/>
            <w:tcBorders>
              <w:left w:val="single" w:color="auto" w:sz="4" w:space="0"/>
              <w:bottom w:val="single" w:color="auto" w:sz="4" w:space="0"/>
              <w:right w:val="single" w:color="auto" w:sz="4" w:space="0"/>
            </w:tcBorders>
            <w:vAlign w:val="center"/>
          </w:tcPr>
          <w:p w14:paraId="67E55A22">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22</w:t>
            </w:r>
          </w:p>
        </w:tc>
        <w:tc>
          <w:tcPr>
            <w:tcW w:w="2835" w:type="dxa"/>
            <w:gridSpan w:val="2"/>
            <w:tcBorders>
              <w:left w:val="single" w:color="auto" w:sz="4" w:space="0"/>
              <w:bottom w:val="single" w:color="auto" w:sz="4" w:space="0"/>
              <w:right w:val="single" w:color="auto" w:sz="4" w:space="0"/>
            </w:tcBorders>
            <w:vAlign w:val="center"/>
          </w:tcPr>
          <w:p w14:paraId="6633CA1F">
            <w:pPr>
              <w:keepNext w:val="0"/>
              <w:keepLines w:val="0"/>
              <w:suppressLineNumbers w:val="0"/>
              <w:spacing w:before="0" w:beforeAutospacing="0" w:after="0" w:afterAutospacing="0"/>
              <w:ind w:left="0" w:right="0"/>
              <w:jc w:val="center"/>
              <w:rPr>
                <w:rFonts w:hint="default" w:ascii="宋体" w:hAnsi="宋体" w:cs="宋体"/>
                <w:color w:val="auto"/>
                <w:sz w:val="24"/>
              </w:rPr>
            </w:pPr>
            <w:r>
              <w:rPr>
                <w:rFonts w:hint="eastAsia" w:ascii="宋体" w:hAnsi="宋体" w:cs="宋体"/>
                <w:color w:val="auto"/>
                <w:sz w:val="24"/>
              </w:rPr>
              <w:t>招标代理单位</w:t>
            </w:r>
          </w:p>
        </w:tc>
        <w:tc>
          <w:tcPr>
            <w:tcW w:w="5745" w:type="dxa"/>
            <w:tcBorders>
              <w:top w:val="single" w:color="auto" w:sz="4" w:space="0"/>
              <w:left w:val="single" w:color="auto" w:sz="4" w:space="0"/>
              <w:bottom w:val="single" w:color="auto" w:sz="4" w:space="0"/>
              <w:right w:val="single" w:color="auto" w:sz="4" w:space="0"/>
            </w:tcBorders>
            <w:vAlign w:val="center"/>
          </w:tcPr>
          <w:p w14:paraId="21C4385B">
            <w:pPr>
              <w:keepNext w:val="0"/>
              <w:keepLines w:val="0"/>
              <w:suppressLineNumbers w:val="0"/>
              <w:adjustRightInd w:val="0"/>
              <w:snapToGrid w:val="0"/>
              <w:spacing w:before="0" w:beforeAutospacing="0" w:after="0" w:afterAutospacing="0"/>
              <w:ind w:left="0" w:right="0"/>
              <w:jc w:val="left"/>
              <w:rPr>
                <w:rFonts w:hint="default" w:ascii="宋体" w:hAnsi="宋体" w:cs="宋体"/>
                <w:color w:val="auto"/>
                <w:sz w:val="24"/>
              </w:rPr>
            </w:pPr>
            <w:r>
              <w:rPr>
                <w:rFonts w:hint="eastAsia" w:ascii="宋体" w:hAnsi="宋体" w:cs="宋体"/>
                <w:color w:val="auto"/>
                <w:sz w:val="24"/>
              </w:rPr>
              <w:t>单位名称：江苏中房工程咨询有限公司</w:t>
            </w:r>
          </w:p>
          <w:p w14:paraId="48BF2587">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地址：</w:t>
            </w:r>
            <w:r>
              <w:rPr>
                <w:rFonts w:hint="eastAsia" w:ascii="宋体" w:cs="宋体"/>
                <w:color w:val="auto"/>
                <w:sz w:val="24"/>
              </w:rPr>
              <w:t>南通市崇川区江海大道817号江海财富大厦A座7楼</w:t>
            </w:r>
          </w:p>
          <w:p w14:paraId="0A5FEED2">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联系人：</w:t>
            </w:r>
            <w:r>
              <w:rPr>
                <w:rFonts w:hint="eastAsia" w:asciiTheme="minorEastAsia" w:hAnsiTheme="minorEastAsia" w:eastAsiaTheme="minorEastAsia"/>
                <w:color w:val="auto"/>
                <w:sz w:val="24"/>
                <w:lang w:val="en-US" w:eastAsia="zh-CN"/>
              </w:rPr>
              <w:t>吴江</w:t>
            </w:r>
            <w:r>
              <w:rPr>
                <w:rFonts w:hint="eastAsia" w:asciiTheme="minorEastAsia" w:hAnsiTheme="minorEastAsia" w:eastAsiaTheme="minorEastAsia"/>
                <w:color w:val="auto"/>
                <w:sz w:val="24"/>
              </w:rPr>
              <w:t xml:space="preserve">  </w:t>
            </w:r>
          </w:p>
          <w:p w14:paraId="26C0940C">
            <w:pPr>
              <w:keepNext w:val="0"/>
              <w:keepLines w:val="0"/>
              <w:suppressLineNumbers w:val="0"/>
              <w:spacing w:before="0" w:beforeAutospacing="0" w:after="0" w:afterAutospacing="0"/>
              <w:ind w:left="0" w:right="0"/>
              <w:jc w:val="left"/>
              <w:rPr>
                <w:rFonts w:hint="default" w:eastAsia="宋体" w:asciiTheme="minorEastAsia" w:hAnsiTheme="minorEastAsia"/>
                <w:color w:val="auto"/>
                <w:sz w:val="24"/>
                <w:lang w:val="en-US" w:eastAsia="zh-CN"/>
              </w:rPr>
            </w:pPr>
            <w:r>
              <w:rPr>
                <w:rFonts w:hint="eastAsia" w:asciiTheme="minorEastAsia" w:hAnsiTheme="minorEastAsia" w:eastAsiaTheme="minorEastAsia"/>
                <w:color w:val="auto"/>
                <w:sz w:val="24"/>
              </w:rPr>
              <w:t>联系电话：</w:t>
            </w:r>
            <w:r>
              <w:rPr>
                <w:rFonts w:hint="eastAsia" w:ascii="宋体" w:hAnsi="宋体"/>
                <w:color w:val="auto"/>
                <w:sz w:val="24"/>
              </w:rPr>
              <w:t>0513-</w:t>
            </w:r>
            <w:r>
              <w:rPr>
                <w:rFonts w:hint="eastAsia" w:ascii="宋体" w:hAnsi="宋体"/>
                <w:color w:val="auto"/>
                <w:sz w:val="24"/>
                <w:lang w:val="en-US" w:eastAsia="zh-CN"/>
              </w:rPr>
              <w:t>68002662</w:t>
            </w:r>
          </w:p>
          <w:p w14:paraId="216C6B71">
            <w:pPr>
              <w:keepNext w:val="0"/>
              <w:keepLines w:val="0"/>
              <w:suppressLineNumbers w:val="0"/>
              <w:adjustRightInd w:val="0"/>
              <w:snapToGrid w:val="0"/>
              <w:spacing w:before="0" w:beforeAutospacing="0" w:after="0" w:afterAutospacing="0"/>
              <w:ind w:left="0" w:right="0"/>
              <w:jc w:val="left"/>
              <w:rPr>
                <w:rFonts w:hint="default" w:ascii="宋体" w:hAnsi="宋体" w:cs="宋体"/>
                <w:color w:val="auto"/>
                <w:sz w:val="24"/>
              </w:rPr>
            </w:pPr>
            <w:r>
              <w:rPr>
                <w:rFonts w:hint="eastAsia" w:asciiTheme="minorEastAsia" w:hAnsiTheme="minorEastAsia" w:eastAsiaTheme="minorEastAsia"/>
                <w:color w:val="auto"/>
                <w:sz w:val="24"/>
              </w:rPr>
              <w:t>E-mail：</w:t>
            </w:r>
            <w:r>
              <w:rPr>
                <w:rFonts w:hint="default"/>
                <w:color w:val="auto"/>
              </w:rPr>
              <w:fldChar w:fldCharType="begin"/>
            </w:r>
            <w:r>
              <w:rPr>
                <w:rFonts w:hint="default"/>
                <w:color w:val="auto"/>
              </w:rPr>
              <w:instrText xml:space="preserve"> HYPERLINK "mailto:362580477@qq.com" </w:instrText>
            </w:r>
            <w:r>
              <w:rPr>
                <w:rFonts w:hint="default"/>
                <w:color w:val="auto"/>
              </w:rPr>
              <w:fldChar w:fldCharType="separate"/>
            </w:r>
            <w:r>
              <w:rPr>
                <w:rFonts w:hint="eastAsia" w:asciiTheme="minorEastAsia" w:hAnsiTheme="minorEastAsia" w:eastAsiaTheme="minorEastAsia"/>
                <w:color w:val="auto"/>
                <w:sz w:val="24"/>
                <w:lang w:eastAsia="zh-CN"/>
              </w:rPr>
              <w:t>458101863</w:t>
            </w:r>
            <w:r>
              <w:rPr>
                <w:rFonts w:hint="eastAsia" w:asciiTheme="minorEastAsia" w:hAnsiTheme="minorEastAsia" w:eastAsiaTheme="minorEastAsia"/>
                <w:color w:val="auto"/>
                <w:sz w:val="24"/>
              </w:rPr>
              <w:t>@qq.com</w:t>
            </w:r>
            <w:r>
              <w:rPr>
                <w:rFonts w:hint="eastAsia" w:asciiTheme="minorEastAsia" w:hAnsiTheme="minorEastAsia" w:eastAsiaTheme="minorEastAsia"/>
                <w:color w:val="auto"/>
                <w:sz w:val="24"/>
              </w:rPr>
              <w:fldChar w:fldCharType="end"/>
            </w:r>
          </w:p>
        </w:tc>
      </w:tr>
    </w:tbl>
    <w:p w14:paraId="43C011B3">
      <w:pPr>
        <w:widowControl/>
        <w:spacing w:line="360" w:lineRule="auto"/>
        <w:jc w:val="center"/>
        <w:rPr>
          <w:rFonts w:ascii="宋体" w:hAnsi="宋体"/>
          <w:color w:val="auto"/>
          <w:sz w:val="30"/>
        </w:rPr>
      </w:pPr>
      <w:bookmarkStart w:id="14" w:name="_Toc380681013"/>
      <w:bookmarkStart w:id="15" w:name="_Toc380680820"/>
      <w:bookmarkStart w:id="16" w:name="_Toc380680180"/>
      <w:bookmarkStart w:id="17" w:name="_Toc380681232"/>
      <w:r>
        <w:rPr>
          <w:rFonts w:ascii="宋体" w:hAnsi="宋体"/>
          <w:color w:val="auto"/>
          <w:sz w:val="30"/>
        </w:rPr>
        <w:br w:type="page"/>
      </w:r>
      <w:r>
        <w:rPr>
          <w:rFonts w:ascii="宋体" w:hAnsi="宋体"/>
          <w:color w:val="auto"/>
          <w:sz w:val="30"/>
        </w:rPr>
        <w:t>二、投标须知</w:t>
      </w:r>
      <w:bookmarkEnd w:id="14"/>
      <w:bookmarkEnd w:id="15"/>
      <w:bookmarkEnd w:id="16"/>
      <w:bookmarkEnd w:id="17"/>
    </w:p>
    <w:p w14:paraId="5D4356E5">
      <w:pPr>
        <w:pStyle w:val="3"/>
        <w:spacing w:before="0" w:after="0" w:line="360" w:lineRule="auto"/>
        <w:jc w:val="center"/>
        <w:rPr>
          <w:rFonts w:ascii="宋体" w:hAnsi="宋体" w:eastAsia="宋体"/>
          <w:color w:val="auto"/>
          <w:sz w:val="24"/>
          <w:szCs w:val="24"/>
        </w:rPr>
      </w:pPr>
      <w:bookmarkStart w:id="18" w:name="_Toc380681014"/>
      <w:bookmarkStart w:id="19" w:name="_Toc286661158"/>
      <w:bookmarkStart w:id="20" w:name="_Toc380680181"/>
      <w:bookmarkStart w:id="21" w:name="_Toc380681233"/>
      <w:bookmarkStart w:id="22" w:name="_Toc380680821"/>
      <w:r>
        <w:rPr>
          <w:rFonts w:ascii="宋体" w:hAnsi="宋体" w:eastAsia="宋体"/>
          <w:color w:val="auto"/>
          <w:sz w:val="24"/>
          <w:szCs w:val="24"/>
        </w:rPr>
        <w:t>（一）总则</w:t>
      </w:r>
      <w:bookmarkEnd w:id="18"/>
      <w:bookmarkEnd w:id="19"/>
      <w:bookmarkEnd w:id="20"/>
      <w:bookmarkEnd w:id="21"/>
      <w:bookmarkEnd w:id="22"/>
    </w:p>
    <w:p w14:paraId="2E2892F2">
      <w:pPr>
        <w:autoSpaceDE w:val="0"/>
        <w:autoSpaceDN w:val="0"/>
        <w:adjustRightInd w:val="0"/>
        <w:spacing w:line="440" w:lineRule="exact"/>
        <w:ind w:left="500"/>
        <w:jc w:val="left"/>
        <w:rPr>
          <w:rFonts w:ascii="宋体" w:hAnsi="宋体"/>
          <w:b/>
          <w:color w:val="auto"/>
          <w:kern w:val="0"/>
          <w:sz w:val="24"/>
        </w:rPr>
      </w:pPr>
      <w:r>
        <w:rPr>
          <w:rFonts w:ascii="宋体" w:hAnsi="宋体"/>
          <w:b/>
          <w:color w:val="auto"/>
          <w:kern w:val="0"/>
          <w:sz w:val="24"/>
        </w:rPr>
        <w:t>1</w:t>
      </w:r>
      <w:r>
        <w:rPr>
          <w:rFonts w:hint="eastAsia" w:ascii="宋体" w:hAnsi="宋体"/>
          <w:b/>
          <w:color w:val="auto"/>
          <w:kern w:val="0"/>
          <w:sz w:val="24"/>
        </w:rPr>
        <w:t>、</w:t>
      </w:r>
      <w:r>
        <w:rPr>
          <w:rFonts w:ascii="宋体" w:hAnsi="宋体"/>
          <w:b/>
          <w:color w:val="auto"/>
          <w:kern w:val="0"/>
          <w:sz w:val="24"/>
        </w:rPr>
        <w:t>工程概况</w:t>
      </w:r>
    </w:p>
    <w:p w14:paraId="7995CB13">
      <w:pPr>
        <w:spacing w:line="440" w:lineRule="exact"/>
        <w:ind w:firstLine="480" w:firstLineChars="200"/>
        <w:rPr>
          <w:rFonts w:ascii="宋体" w:hAnsi="宋体"/>
          <w:color w:val="auto"/>
          <w:sz w:val="24"/>
        </w:rPr>
      </w:pPr>
      <w:r>
        <w:rPr>
          <w:rFonts w:ascii="宋体" w:hAnsi="宋体"/>
          <w:color w:val="auto"/>
          <w:sz w:val="24"/>
        </w:rPr>
        <w:t>1.1本招标工程项目说明详见本须知前附表第1项～第7项。</w:t>
      </w:r>
    </w:p>
    <w:p w14:paraId="5DF6B9CD">
      <w:pPr>
        <w:spacing w:line="440" w:lineRule="exact"/>
        <w:ind w:firstLine="480" w:firstLineChars="200"/>
        <w:rPr>
          <w:rFonts w:ascii="宋体" w:hAnsi="宋体"/>
          <w:color w:val="auto"/>
          <w:sz w:val="24"/>
        </w:rPr>
      </w:pPr>
      <w:r>
        <w:rPr>
          <w:rFonts w:ascii="宋体" w:hAnsi="宋体"/>
          <w:color w:val="auto"/>
          <w:sz w:val="24"/>
        </w:rPr>
        <w:t>1.2招标范围：见本须知前附表第8项。</w:t>
      </w:r>
    </w:p>
    <w:p w14:paraId="45DFEBEB">
      <w:pPr>
        <w:spacing w:line="440" w:lineRule="exact"/>
        <w:ind w:firstLine="480" w:firstLineChars="200"/>
        <w:rPr>
          <w:rFonts w:ascii="宋体" w:hAnsi="宋体"/>
          <w:color w:val="auto"/>
          <w:sz w:val="24"/>
        </w:rPr>
      </w:pPr>
      <w:r>
        <w:rPr>
          <w:rFonts w:ascii="宋体" w:hAnsi="宋体"/>
          <w:color w:val="auto"/>
          <w:sz w:val="24"/>
        </w:rPr>
        <w:t>1.3现场条件：</w:t>
      </w:r>
    </w:p>
    <w:p w14:paraId="1E2C24C0">
      <w:pPr>
        <w:spacing w:line="440" w:lineRule="exact"/>
        <w:ind w:firstLine="480" w:firstLineChars="200"/>
        <w:rPr>
          <w:rFonts w:ascii="宋体" w:hAnsi="宋体"/>
          <w:color w:val="auto"/>
          <w:sz w:val="24"/>
        </w:rPr>
      </w:pPr>
      <w:r>
        <w:rPr>
          <w:rFonts w:ascii="宋体" w:hAnsi="宋体"/>
          <w:color w:val="auto"/>
          <w:sz w:val="24"/>
        </w:rPr>
        <w:t>（1）施工现场拆迁及平整情况：</w:t>
      </w:r>
      <w:r>
        <w:rPr>
          <w:rFonts w:hAnsi="宋体"/>
          <w:bCs/>
          <w:snapToGrid w:val="0"/>
          <w:color w:val="auto"/>
          <w:kern w:val="0"/>
          <w:sz w:val="24"/>
          <w:u w:val="single"/>
        </w:rPr>
        <w:t>现貌</w:t>
      </w:r>
      <w:r>
        <w:rPr>
          <w:rFonts w:ascii="宋体" w:hAnsi="宋体"/>
          <w:bCs/>
          <w:snapToGrid w:val="0"/>
          <w:color w:val="auto"/>
          <w:kern w:val="0"/>
          <w:sz w:val="24"/>
          <w:u w:val="single"/>
        </w:rPr>
        <w:t>。</w:t>
      </w:r>
    </w:p>
    <w:p w14:paraId="4ED42727">
      <w:pPr>
        <w:spacing w:line="440" w:lineRule="exact"/>
        <w:ind w:firstLine="480" w:firstLineChars="200"/>
        <w:rPr>
          <w:rFonts w:ascii="宋体" w:hAnsi="宋体"/>
          <w:snapToGrid w:val="0"/>
          <w:color w:val="auto"/>
          <w:kern w:val="0"/>
          <w:sz w:val="24"/>
          <w:u w:val="single"/>
        </w:rPr>
      </w:pPr>
      <w:r>
        <w:rPr>
          <w:rFonts w:ascii="宋体" w:hAnsi="宋体"/>
          <w:color w:val="auto"/>
          <w:sz w:val="24"/>
        </w:rPr>
        <w:t>（2）施工用水、电：</w:t>
      </w:r>
      <w:r>
        <w:rPr>
          <w:rFonts w:hAnsi="宋体"/>
          <w:bCs/>
          <w:snapToGrid w:val="0"/>
          <w:color w:val="auto"/>
          <w:kern w:val="0"/>
          <w:sz w:val="24"/>
          <w:u w:val="single"/>
        </w:rPr>
        <w:t>由投标人自行考虑，费用综合考虑到报价中。</w:t>
      </w:r>
    </w:p>
    <w:p w14:paraId="7BF2D4E6">
      <w:pPr>
        <w:spacing w:line="440" w:lineRule="exact"/>
        <w:ind w:firstLine="480" w:firstLineChars="200"/>
        <w:rPr>
          <w:rFonts w:ascii="宋体" w:hAnsi="宋体"/>
          <w:snapToGrid w:val="0"/>
          <w:color w:val="auto"/>
          <w:kern w:val="0"/>
          <w:sz w:val="24"/>
          <w:u w:val="single"/>
        </w:rPr>
      </w:pPr>
      <w:r>
        <w:rPr>
          <w:rFonts w:ascii="宋体" w:hAnsi="宋体"/>
          <w:color w:val="auto"/>
          <w:sz w:val="24"/>
        </w:rPr>
        <w:t>（3）场内外道路：</w:t>
      </w:r>
      <w:r>
        <w:rPr>
          <w:rFonts w:hAnsi="宋体"/>
          <w:snapToGrid w:val="0"/>
          <w:color w:val="auto"/>
          <w:kern w:val="0"/>
          <w:sz w:val="24"/>
          <w:u w:val="single"/>
        </w:rPr>
        <w:t>现貌</w:t>
      </w:r>
      <w:r>
        <w:rPr>
          <w:rFonts w:ascii="宋体" w:hAnsi="宋体"/>
          <w:snapToGrid w:val="0"/>
          <w:color w:val="auto"/>
          <w:kern w:val="0"/>
          <w:sz w:val="24"/>
          <w:u w:val="single"/>
        </w:rPr>
        <w:t>。</w:t>
      </w:r>
    </w:p>
    <w:p w14:paraId="3338D3CA">
      <w:pPr>
        <w:spacing w:line="440" w:lineRule="exact"/>
        <w:ind w:firstLine="480" w:firstLineChars="200"/>
        <w:rPr>
          <w:rFonts w:hAnsi="宋体"/>
          <w:bCs/>
          <w:snapToGrid w:val="0"/>
          <w:color w:val="auto"/>
          <w:kern w:val="0"/>
          <w:sz w:val="24"/>
          <w:u w:val="single"/>
        </w:rPr>
      </w:pPr>
      <w:r>
        <w:rPr>
          <w:rFonts w:ascii="宋体" w:hAnsi="宋体"/>
          <w:color w:val="auto"/>
          <w:sz w:val="24"/>
        </w:rPr>
        <w:t>（4）其他：</w:t>
      </w:r>
      <w:r>
        <w:rPr>
          <w:rFonts w:hint="eastAsia" w:hAnsi="宋体"/>
          <w:bCs/>
          <w:snapToGrid w:val="0"/>
          <w:color w:val="auto"/>
          <w:kern w:val="0"/>
          <w:sz w:val="24"/>
          <w:u w:val="single"/>
        </w:rPr>
        <w:t>投标人应认真对现场环境进行踏勘，对施工现场情况和影响施工的因素以及困难条件进行周密的勘察和研究，作出自己的判断结论和估价。中标后和签订合同时及施工过程中，中标单位均不得以不了解现场情况为由，提出任何形式增加工程造价的要求，施工时因场地及青苗补偿（如涉及）等问题引起的成本费用增加，均由中标单位自行承担，结算时不予调整。</w:t>
      </w:r>
    </w:p>
    <w:p w14:paraId="41899202">
      <w:pPr>
        <w:spacing w:line="440" w:lineRule="exact"/>
        <w:ind w:firstLine="480" w:firstLineChars="200"/>
        <w:rPr>
          <w:rFonts w:hAnsi="宋体"/>
          <w:bCs/>
          <w:snapToGrid w:val="0"/>
          <w:color w:val="auto"/>
          <w:kern w:val="0"/>
          <w:sz w:val="24"/>
          <w:u w:val="single"/>
        </w:rPr>
      </w:pPr>
      <w:r>
        <w:rPr>
          <w:rFonts w:hint="eastAsia" w:hAnsi="宋体"/>
          <w:bCs/>
          <w:snapToGrid w:val="0"/>
          <w:color w:val="auto"/>
          <w:kern w:val="0"/>
          <w:sz w:val="24"/>
          <w:u w:val="single"/>
        </w:rPr>
        <w:t>中标单位应独立、有效的做好该工程周边的有关群众工作，并充分考虑工程实施范围内外的施工单位、个人和其他可能出现阻挠施工等不可预料突发的情况，若因此发生的机械台班停置费、二次机械进退场费、人员窝工、处理周边群众纠纷等费用和损失等，由投标人自行考虑，并列入投标报价，工程结算时不作调整。</w:t>
      </w:r>
    </w:p>
    <w:p w14:paraId="65D4F6D0">
      <w:pPr>
        <w:spacing w:line="440" w:lineRule="exact"/>
        <w:ind w:firstLine="480" w:firstLineChars="200"/>
        <w:rPr>
          <w:rFonts w:ascii="宋体" w:hAnsi="宋体"/>
          <w:color w:val="auto"/>
          <w:sz w:val="24"/>
        </w:rPr>
      </w:pPr>
      <w:r>
        <w:rPr>
          <w:rFonts w:ascii="宋体" w:hAnsi="宋体"/>
          <w:color w:val="auto"/>
          <w:sz w:val="24"/>
        </w:rPr>
        <w:t>1.4承包方式说明：</w:t>
      </w:r>
    </w:p>
    <w:p w14:paraId="3150BD8A">
      <w:pPr>
        <w:spacing w:line="440" w:lineRule="exact"/>
        <w:ind w:firstLine="480" w:firstLineChars="200"/>
        <w:rPr>
          <w:rFonts w:ascii="宋体" w:hAnsi="宋体"/>
          <w:color w:val="auto"/>
          <w:sz w:val="24"/>
        </w:rPr>
      </w:pPr>
      <w:r>
        <w:rPr>
          <w:rFonts w:ascii="宋体" w:hAnsi="宋体"/>
          <w:color w:val="auto"/>
          <w:sz w:val="24"/>
        </w:rPr>
        <w:t>工程发包范围内的包工、包料（发包人供应或发包人另行发包的除外）、包质量、包工期、包安全、包文明、包成品养护、包风险等。</w:t>
      </w:r>
    </w:p>
    <w:p w14:paraId="278FBC9A">
      <w:pPr>
        <w:spacing w:line="440" w:lineRule="exact"/>
        <w:ind w:firstLine="480" w:firstLineChars="200"/>
        <w:rPr>
          <w:rFonts w:ascii="宋体" w:hAnsi="宋体"/>
          <w:color w:val="auto"/>
          <w:sz w:val="24"/>
        </w:rPr>
      </w:pPr>
      <w:r>
        <w:rPr>
          <w:rFonts w:ascii="宋体" w:hAnsi="宋体"/>
          <w:color w:val="auto"/>
          <w:sz w:val="24"/>
        </w:rPr>
        <w:t>1.5按照《中华人民共和国招标投标法》、《工程建设项目施工招标投标办法》及相关规定，上述工程已符合招标条件，现采用</w:t>
      </w:r>
      <w:r>
        <w:rPr>
          <w:rFonts w:ascii="宋体" w:hAnsi="宋体"/>
          <w:b/>
          <w:color w:val="auto"/>
          <w:sz w:val="24"/>
          <w:u w:val="single"/>
        </w:rPr>
        <w:t>公开招标、资格后审</w:t>
      </w:r>
      <w:r>
        <w:rPr>
          <w:rFonts w:ascii="宋体" w:hAnsi="宋体"/>
          <w:color w:val="auto"/>
          <w:sz w:val="24"/>
        </w:rPr>
        <w:t>招标方式，择优选定施工单位。</w:t>
      </w:r>
    </w:p>
    <w:p w14:paraId="06A61ADC">
      <w:pPr>
        <w:autoSpaceDE w:val="0"/>
        <w:autoSpaceDN w:val="0"/>
        <w:adjustRightInd w:val="0"/>
        <w:spacing w:line="440" w:lineRule="exact"/>
        <w:ind w:left="500"/>
        <w:jc w:val="left"/>
        <w:rPr>
          <w:rFonts w:ascii="宋体" w:hAnsi="宋体"/>
          <w:b/>
          <w:color w:val="auto"/>
          <w:kern w:val="0"/>
          <w:sz w:val="24"/>
        </w:rPr>
      </w:pPr>
      <w:bookmarkStart w:id="23" w:name="_Toc286661161"/>
      <w:r>
        <w:rPr>
          <w:rFonts w:ascii="宋体" w:hAnsi="宋体"/>
          <w:b/>
          <w:color w:val="auto"/>
          <w:kern w:val="0"/>
          <w:sz w:val="24"/>
        </w:rPr>
        <w:t>2</w:t>
      </w:r>
      <w:r>
        <w:rPr>
          <w:rFonts w:hint="eastAsia" w:ascii="宋体" w:hAnsi="宋体"/>
          <w:b/>
          <w:color w:val="auto"/>
          <w:kern w:val="0"/>
          <w:sz w:val="24"/>
        </w:rPr>
        <w:t>、</w:t>
      </w:r>
      <w:r>
        <w:rPr>
          <w:rFonts w:ascii="宋体" w:hAnsi="宋体"/>
          <w:b/>
          <w:color w:val="auto"/>
          <w:kern w:val="0"/>
          <w:sz w:val="24"/>
        </w:rPr>
        <w:t>投标人资格要求</w:t>
      </w:r>
    </w:p>
    <w:p w14:paraId="74E8059D">
      <w:pPr>
        <w:spacing w:line="440" w:lineRule="exact"/>
        <w:ind w:firstLine="480"/>
        <w:rPr>
          <w:rFonts w:ascii="宋体" w:hAnsi="宋体"/>
          <w:color w:val="auto"/>
          <w:sz w:val="24"/>
        </w:rPr>
      </w:pPr>
      <w:r>
        <w:rPr>
          <w:rFonts w:ascii="宋体" w:hAnsi="宋体"/>
          <w:color w:val="auto"/>
          <w:sz w:val="24"/>
        </w:rPr>
        <w:t>2.1投标人应具备承担本工程施工的资质条件、能力和信誉：</w:t>
      </w:r>
    </w:p>
    <w:p w14:paraId="2953F663">
      <w:pPr>
        <w:spacing w:line="440" w:lineRule="exact"/>
        <w:ind w:firstLine="480" w:firstLineChars="200"/>
        <w:rPr>
          <w:rFonts w:ascii="宋体" w:hAnsi="宋体"/>
          <w:b/>
          <w:bCs/>
          <w:color w:val="auto"/>
          <w:sz w:val="24"/>
          <w:u w:val="single"/>
        </w:rPr>
      </w:pPr>
      <w:r>
        <w:rPr>
          <w:rFonts w:ascii="宋体" w:hAnsi="宋体"/>
          <w:snapToGrid w:val="0"/>
          <w:color w:val="auto"/>
          <w:kern w:val="0"/>
          <w:sz w:val="24"/>
        </w:rPr>
        <w:t>（1）企业资质条件：</w:t>
      </w:r>
      <w:r>
        <w:rPr>
          <w:rFonts w:ascii="宋体" w:hAnsi="宋体"/>
          <w:color w:val="auto"/>
          <w:sz w:val="24"/>
        </w:rPr>
        <w:t>具有独立法人资格和</w:t>
      </w:r>
      <w:r>
        <w:rPr>
          <w:rFonts w:hint="eastAsia" w:ascii="宋体" w:hAnsi="宋体"/>
          <w:b/>
          <w:color w:val="auto"/>
          <w:sz w:val="24"/>
          <w:u w:val="single"/>
          <w:lang w:eastAsia="zh-CN"/>
        </w:rPr>
        <w:t>钢结构工程专业承包二级及以上资质</w:t>
      </w:r>
      <w:r>
        <w:rPr>
          <w:rFonts w:hint="eastAsia" w:ascii="宋体" w:hAnsi="宋体" w:cs="宋体"/>
          <w:b/>
          <w:bCs/>
          <w:color w:val="auto"/>
          <w:kern w:val="0"/>
          <w:sz w:val="24"/>
          <w:u w:val="single"/>
        </w:rPr>
        <w:t>，且具备企业安全生产许可证</w:t>
      </w:r>
      <w:r>
        <w:rPr>
          <w:rFonts w:ascii="宋体" w:hAnsi="宋体" w:cs="宋体"/>
          <w:b/>
          <w:bCs/>
          <w:color w:val="auto"/>
          <w:kern w:val="0"/>
          <w:sz w:val="24"/>
          <w:u w:val="single"/>
        </w:rPr>
        <w:t>；</w:t>
      </w:r>
    </w:p>
    <w:p w14:paraId="51FF5D33">
      <w:pPr>
        <w:spacing w:line="440" w:lineRule="exact"/>
        <w:ind w:firstLine="480" w:firstLineChars="200"/>
        <w:rPr>
          <w:rFonts w:ascii="宋体" w:hAnsi="宋体"/>
          <w:b/>
          <w:color w:val="auto"/>
          <w:kern w:val="0"/>
          <w:sz w:val="24"/>
          <w:u w:val="single"/>
        </w:rPr>
      </w:pPr>
      <w:r>
        <w:rPr>
          <w:rFonts w:ascii="宋体" w:hAnsi="宋体"/>
          <w:color w:val="auto"/>
          <w:kern w:val="0"/>
          <w:sz w:val="24"/>
        </w:rPr>
        <w:t>（2）</w:t>
      </w:r>
      <w:r>
        <w:rPr>
          <w:rFonts w:hint="eastAsia" w:ascii="宋体" w:hAnsi="宋体"/>
          <w:color w:val="auto"/>
          <w:kern w:val="0"/>
          <w:sz w:val="24"/>
        </w:rPr>
        <w:t>拟派</w:t>
      </w:r>
      <w:r>
        <w:rPr>
          <w:rFonts w:ascii="宋体" w:hAnsi="宋体"/>
          <w:color w:val="auto"/>
          <w:kern w:val="0"/>
          <w:sz w:val="24"/>
        </w:rPr>
        <w:t>项目负责人资格：</w:t>
      </w:r>
      <w:r>
        <w:rPr>
          <w:rFonts w:hint="eastAsia" w:ascii="宋体" w:hAnsi="宋体"/>
          <w:b/>
          <w:color w:val="auto"/>
          <w:kern w:val="0"/>
          <w:sz w:val="24"/>
          <w:u w:val="single"/>
          <w:lang w:val="en-US" w:eastAsia="zh-CN"/>
        </w:rPr>
        <w:t>建筑工程专业二级及以上注册建造师</w:t>
      </w:r>
      <w:r>
        <w:rPr>
          <w:rFonts w:hint="eastAsia" w:ascii="宋体" w:hAnsi="宋体"/>
          <w:b/>
          <w:color w:val="auto"/>
          <w:kern w:val="0"/>
          <w:sz w:val="24"/>
          <w:u w:val="single"/>
        </w:rPr>
        <w:t>，同时具有安全生产考核合格证（B证）</w:t>
      </w:r>
      <w:r>
        <w:rPr>
          <w:rFonts w:ascii="宋体" w:hAnsi="宋体"/>
          <w:b/>
          <w:color w:val="auto"/>
          <w:kern w:val="0"/>
          <w:sz w:val="24"/>
          <w:u w:val="single"/>
        </w:rPr>
        <w:t>。</w:t>
      </w:r>
    </w:p>
    <w:p w14:paraId="267B7F2E">
      <w:pPr>
        <w:widowControl/>
        <w:spacing w:line="440" w:lineRule="exact"/>
        <w:ind w:firstLine="480" w:firstLineChars="200"/>
        <w:rPr>
          <w:rFonts w:ascii="宋体" w:cs="宋体"/>
          <w:color w:val="auto"/>
          <w:sz w:val="24"/>
        </w:rPr>
      </w:pPr>
      <w:r>
        <w:rPr>
          <w:rFonts w:hint="eastAsia" w:ascii="宋体" w:cs="宋体"/>
          <w:color w:val="auto"/>
          <w:sz w:val="24"/>
        </w:rPr>
        <w:t>特别提醒：1、本工程投标人拟派项目负责人为江苏省二级注册建造师的，必须根据《省住房和城乡建设厅关于我省二级建造师、二级造价工程师、二级注册建筑师、二级注册结构工程师注册证书电子证照换发的公告》（(2023)第26号）文件要求使用并提供证书，如未按文件要求提供证书，该证书无效，视为项目负责人的资格不符合要求。2、本工程投标人拟派项目负责人为一级注册建造师的，必须根据《办公厅关于全面实行一级建造师电子注册证书的通知》（建办市〔2021〕40号）文件要求使用并提供证书，如未按文件要求提供证书，该证书无效，视为项目负责人的资格不符合要求。</w:t>
      </w:r>
    </w:p>
    <w:p w14:paraId="51BCB2A7">
      <w:pPr>
        <w:spacing w:line="440" w:lineRule="exact"/>
        <w:ind w:firstLine="480" w:firstLineChars="200"/>
        <w:rPr>
          <w:rFonts w:hint="eastAsia" w:ascii="宋体" w:hAnsi="宋体"/>
          <w:color w:val="auto"/>
          <w:sz w:val="24"/>
          <w:highlight w:val="none"/>
        </w:rPr>
      </w:pPr>
      <w:r>
        <w:rPr>
          <w:rFonts w:hint="eastAsia" w:ascii="宋体" w:hAnsi="宋体"/>
          <w:color w:val="auto"/>
          <w:sz w:val="24"/>
          <w:highlight w:val="none"/>
        </w:rPr>
        <w:t>（</w:t>
      </w:r>
      <w:r>
        <w:rPr>
          <w:rFonts w:hint="eastAsia" w:ascii="宋体" w:hAnsi="宋体"/>
          <w:color w:val="auto"/>
          <w:sz w:val="24"/>
          <w:highlight w:val="none"/>
          <w:lang w:val="en-US" w:eastAsia="zh-CN"/>
        </w:rPr>
        <w:t>3</w:t>
      </w:r>
      <w:r>
        <w:rPr>
          <w:rFonts w:hint="eastAsia" w:ascii="宋体" w:hAnsi="宋体"/>
          <w:color w:val="auto"/>
          <w:sz w:val="24"/>
          <w:highlight w:val="none"/>
        </w:rPr>
        <w:t>）投标人需同时具备的业绩要求：投标人自</w:t>
      </w:r>
      <w:r>
        <w:rPr>
          <w:rFonts w:hint="eastAsia" w:ascii="宋体" w:hAnsi="宋体"/>
          <w:color w:val="auto"/>
          <w:sz w:val="24"/>
          <w:highlight w:val="none"/>
          <w:lang w:eastAsia="zh-CN"/>
        </w:rPr>
        <w:t>2023年9月1日起至投标截止日期（以合同签订时间为准），承担过单项合同金额30万元及以上钢结构工程业绩</w:t>
      </w:r>
      <w:r>
        <w:rPr>
          <w:rFonts w:hint="eastAsia" w:ascii="宋体" w:hAnsi="宋体"/>
          <w:color w:val="auto"/>
          <w:sz w:val="24"/>
          <w:highlight w:val="none"/>
        </w:rPr>
        <w:t>。须同时提供中标通知书(直接发包项目可不提供中标通知书，但须提供发包人出具的加盖单位公章的直接发包证明)、施工合同及竣工验收证明。</w:t>
      </w:r>
    </w:p>
    <w:p w14:paraId="15DC7E79">
      <w:pPr>
        <w:spacing w:line="440" w:lineRule="exact"/>
        <w:ind w:firstLine="480" w:firstLineChars="200"/>
        <w:rPr>
          <w:rFonts w:ascii="宋体" w:hAnsi="宋体"/>
          <w:color w:val="auto"/>
          <w:sz w:val="24"/>
        </w:rPr>
      </w:pPr>
      <w:r>
        <w:rPr>
          <w:rFonts w:ascii="宋体" w:hAnsi="宋体"/>
          <w:color w:val="auto"/>
          <w:sz w:val="24"/>
        </w:rPr>
        <w:t>（</w:t>
      </w:r>
      <w:r>
        <w:rPr>
          <w:rFonts w:hint="eastAsia" w:ascii="宋体" w:hAnsi="宋体"/>
          <w:color w:val="auto"/>
          <w:sz w:val="24"/>
          <w:lang w:val="en-US" w:eastAsia="zh-CN"/>
        </w:rPr>
        <w:t>4</w:t>
      </w:r>
      <w:r>
        <w:rPr>
          <w:rFonts w:ascii="宋体" w:hAnsi="宋体"/>
          <w:color w:val="auto"/>
          <w:sz w:val="24"/>
        </w:rPr>
        <w:t>）</w:t>
      </w:r>
      <w:r>
        <w:rPr>
          <w:rFonts w:ascii="宋体" w:hAnsi="宋体"/>
          <w:b/>
          <w:color w:val="auto"/>
          <w:sz w:val="24"/>
        </w:rPr>
        <w:t>本工程不接受联合体方式的投标</w:t>
      </w:r>
      <w:r>
        <w:rPr>
          <w:rFonts w:ascii="宋体" w:hAnsi="宋体"/>
          <w:color w:val="auto"/>
          <w:sz w:val="24"/>
        </w:rPr>
        <w:t>。</w:t>
      </w:r>
    </w:p>
    <w:p w14:paraId="354BEFC4">
      <w:pPr>
        <w:spacing w:line="440" w:lineRule="exact"/>
        <w:ind w:firstLine="480" w:firstLineChars="200"/>
        <w:rPr>
          <w:rFonts w:ascii="宋体" w:hAnsi="宋体"/>
          <w:color w:val="auto"/>
          <w:sz w:val="24"/>
        </w:rPr>
      </w:pPr>
      <w:r>
        <w:rPr>
          <w:rFonts w:ascii="宋体" w:hAnsi="宋体"/>
          <w:color w:val="auto"/>
          <w:sz w:val="24"/>
        </w:rPr>
        <w:t>（</w:t>
      </w:r>
      <w:r>
        <w:rPr>
          <w:rFonts w:hint="eastAsia" w:ascii="宋体" w:hAnsi="宋体"/>
          <w:color w:val="auto"/>
          <w:sz w:val="24"/>
          <w:lang w:val="en-US" w:eastAsia="zh-CN"/>
        </w:rPr>
        <w:t>5</w:t>
      </w:r>
      <w:r>
        <w:rPr>
          <w:rFonts w:ascii="宋体" w:hAnsi="宋体"/>
          <w:color w:val="auto"/>
          <w:sz w:val="24"/>
        </w:rPr>
        <w:t>）</w:t>
      </w:r>
      <w:r>
        <w:rPr>
          <w:rFonts w:hint="eastAsia" w:ascii="宋体" w:hAnsi="宋体"/>
          <w:color w:val="auto"/>
          <w:sz w:val="24"/>
        </w:rPr>
        <w:t>投标人在投标文件递交截止时间当日，建筑业企业资质动态监管结果（本项目资质要求）不处于不合格状态。招标人或招标代理机构在投标文件递交截止时间当日，登录“江苏省建筑市场监管与诚信信息一体化平台”，检查投标人的建筑业企业资质动态监管状态，对动态监管处于不合格状态的投标人进行截图保存，提供给评标委员会，资格审查不通过。</w:t>
      </w:r>
    </w:p>
    <w:p w14:paraId="1AC7587C">
      <w:pPr>
        <w:spacing w:line="440" w:lineRule="exact"/>
        <w:ind w:firstLine="480" w:firstLineChars="200"/>
        <w:rPr>
          <w:rFonts w:ascii="宋体" w:hAnsi="宋体"/>
          <w:color w:val="auto"/>
          <w:sz w:val="24"/>
        </w:rPr>
      </w:pPr>
      <w:r>
        <w:rPr>
          <w:rFonts w:hint="eastAsia" w:ascii="宋体" w:hAnsi="宋体"/>
          <w:color w:val="auto"/>
          <w:sz w:val="24"/>
        </w:rPr>
        <w:t>（</w:t>
      </w:r>
      <w:r>
        <w:rPr>
          <w:rFonts w:hint="eastAsia" w:ascii="宋体" w:hAnsi="宋体"/>
          <w:color w:val="auto"/>
          <w:sz w:val="24"/>
          <w:lang w:val="en-US" w:eastAsia="zh-CN"/>
        </w:rPr>
        <w:t>6</w:t>
      </w:r>
      <w:r>
        <w:rPr>
          <w:rFonts w:hint="eastAsia" w:ascii="宋体" w:hAnsi="宋体"/>
          <w:color w:val="auto"/>
          <w:sz w:val="24"/>
        </w:rPr>
        <w:t>）</w:t>
      </w:r>
      <w:r>
        <w:rPr>
          <w:rFonts w:ascii="宋体" w:hAnsi="宋体"/>
          <w:b/>
          <w:color w:val="auto"/>
          <w:sz w:val="24"/>
        </w:rPr>
        <w:t>未尽之处具体详见第二章“评标办法”中的“</w:t>
      </w:r>
      <w:r>
        <w:rPr>
          <w:rFonts w:hint="eastAsia" w:ascii="宋体" w:hAnsi="宋体"/>
          <w:b/>
          <w:color w:val="auto"/>
          <w:sz w:val="24"/>
        </w:rPr>
        <w:t>资格审查标准表</w:t>
      </w:r>
      <w:r>
        <w:rPr>
          <w:rFonts w:ascii="宋体" w:hAnsi="宋体"/>
          <w:b/>
          <w:color w:val="auto"/>
          <w:sz w:val="24"/>
        </w:rPr>
        <w:t>”。</w:t>
      </w:r>
    </w:p>
    <w:p w14:paraId="4A273763">
      <w:pPr>
        <w:autoSpaceDE w:val="0"/>
        <w:autoSpaceDN w:val="0"/>
        <w:adjustRightInd w:val="0"/>
        <w:spacing w:line="440" w:lineRule="exact"/>
        <w:ind w:left="500"/>
        <w:jc w:val="left"/>
        <w:rPr>
          <w:rFonts w:ascii="宋体" w:hAnsi="宋体"/>
          <w:b/>
          <w:color w:val="auto"/>
          <w:kern w:val="0"/>
          <w:sz w:val="24"/>
        </w:rPr>
      </w:pPr>
      <w:r>
        <w:rPr>
          <w:rFonts w:ascii="宋体" w:hAnsi="宋体"/>
          <w:b/>
          <w:color w:val="auto"/>
          <w:kern w:val="0"/>
          <w:sz w:val="24"/>
        </w:rPr>
        <w:t>3</w:t>
      </w:r>
      <w:r>
        <w:rPr>
          <w:rFonts w:hint="eastAsia" w:ascii="宋体" w:hAnsi="宋体"/>
          <w:b/>
          <w:color w:val="auto"/>
          <w:kern w:val="0"/>
          <w:sz w:val="24"/>
        </w:rPr>
        <w:t>、</w:t>
      </w:r>
      <w:r>
        <w:rPr>
          <w:rFonts w:ascii="宋体" w:hAnsi="宋体"/>
          <w:b/>
          <w:color w:val="auto"/>
          <w:kern w:val="0"/>
          <w:sz w:val="24"/>
        </w:rPr>
        <w:t>投标费用</w:t>
      </w:r>
    </w:p>
    <w:p w14:paraId="6C01480A">
      <w:pPr>
        <w:spacing w:line="500" w:lineRule="exact"/>
        <w:ind w:firstLine="480"/>
        <w:rPr>
          <w:rFonts w:asciiTheme="minorEastAsia" w:hAnsiTheme="minorEastAsia" w:eastAsiaTheme="minorEastAsia"/>
          <w:b/>
          <w:color w:val="auto"/>
          <w:sz w:val="24"/>
        </w:rPr>
      </w:pPr>
      <w:r>
        <w:rPr>
          <w:rFonts w:hint="eastAsia" w:asciiTheme="minorEastAsia" w:hAnsiTheme="minorEastAsia" w:eastAsiaTheme="minorEastAsia"/>
          <w:color w:val="auto"/>
          <w:sz w:val="24"/>
        </w:rPr>
        <w:t>3.1</w:t>
      </w:r>
      <w:r>
        <w:rPr>
          <w:rFonts w:asciiTheme="minorEastAsia" w:hAnsiTheme="minorEastAsia" w:eastAsiaTheme="minorEastAsia"/>
          <w:color w:val="auto"/>
          <w:sz w:val="24"/>
        </w:rPr>
        <w:t>投标人应承担其</w:t>
      </w:r>
      <w:r>
        <w:rPr>
          <w:rFonts w:hint="eastAsia" w:asciiTheme="minorEastAsia" w:hAnsiTheme="minorEastAsia" w:eastAsiaTheme="minorEastAsia"/>
          <w:color w:val="auto"/>
          <w:sz w:val="24"/>
        </w:rPr>
        <w:t>报名投标项目、</w:t>
      </w:r>
      <w:r>
        <w:rPr>
          <w:rFonts w:asciiTheme="minorEastAsia" w:hAnsiTheme="minorEastAsia" w:eastAsiaTheme="minorEastAsia"/>
          <w:color w:val="auto"/>
          <w:sz w:val="24"/>
        </w:rPr>
        <w:t>编制投标文件以及递交投标文件等参与本工程投标所涉及的一切费用</w:t>
      </w:r>
      <w:r>
        <w:rPr>
          <w:rFonts w:hint="eastAsia" w:asciiTheme="minorEastAsia" w:hAnsiTheme="minorEastAsia" w:eastAsiaTheme="minorEastAsia"/>
          <w:color w:val="auto"/>
          <w:sz w:val="24"/>
        </w:rPr>
        <w:t>（按相关文件执行）</w:t>
      </w:r>
      <w:r>
        <w:rPr>
          <w:rFonts w:asciiTheme="minorEastAsia" w:hAnsiTheme="minorEastAsia" w:eastAsiaTheme="minorEastAsia"/>
          <w:color w:val="auto"/>
          <w:sz w:val="24"/>
        </w:rPr>
        <w:t>。无论投标结果如何，招标人对上述费用不负任何责任。</w:t>
      </w:r>
    </w:p>
    <w:p w14:paraId="7A50A5E0">
      <w:pPr>
        <w:spacing w:line="440" w:lineRule="exact"/>
        <w:ind w:firstLine="482" w:firstLineChars="200"/>
        <w:rPr>
          <w:rFonts w:ascii="宋体" w:hAnsi="宋体"/>
          <w:b/>
          <w:color w:val="auto"/>
          <w:sz w:val="24"/>
        </w:rPr>
      </w:pPr>
      <w:r>
        <w:rPr>
          <w:rFonts w:hint="eastAsia" w:ascii="宋体" w:hAnsi="宋体"/>
          <w:b/>
          <w:color w:val="auto"/>
          <w:sz w:val="24"/>
        </w:rPr>
        <w:t>3.2本工程招标代理服务费由中标单位支付，中标单位领取中标通知书前向江苏中房工程咨询有限公司缴纳招标代理服务费，招标代理服务费为中标总价×1.2‰，不足4000元，则按照4000元计取。</w:t>
      </w:r>
      <w:r>
        <w:rPr>
          <w:rFonts w:hint="eastAsia" w:ascii="宋体" w:hAnsi="宋体"/>
          <w:b/>
          <w:color w:val="auto"/>
          <w:sz w:val="24"/>
          <w:lang w:val="en-US" w:eastAsia="zh-CN"/>
        </w:rPr>
        <w:t>评审费按实</w:t>
      </w:r>
      <w:r>
        <w:rPr>
          <w:rFonts w:hint="eastAsia" w:ascii="宋体" w:hAnsi="宋体"/>
          <w:b/>
          <w:color w:val="auto"/>
          <w:sz w:val="24"/>
        </w:rPr>
        <w:t>由中标单位</w:t>
      </w:r>
      <w:r>
        <w:rPr>
          <w:rFonts w:hint="eastAsia" w:ascii="宋体" w:hAnsi="宋体"/>
          <w:b/>
          <w:color w:val="auto"/>
          <w:sz w:val="24"/>
          <w:lang w:val="en-US" w:eastAsia="zh-CN"/>
        </w:rPr>
        <w:t>支付。</w:t>
      </w:r>
      <w:r>
        <w:rPr>
          <w:rFonts w:hint="eastAsia" w:ascii="宋体" w:hAnsi="宋体"/>
          <w:b/>
          <w:color w:val="auto"/>
          <w:sz w:val="24"/>
        </w:rPr>
        <w:t>各投标单位在投标报价时自行考虑此费用，并计入投标报价，结算时招标人不予支付该费用。</w:t>
      </w:r>
    </w:p>
    <w:p w14:paraId="6DAF74AB">
      <w:pPr>
        <w:autoSpaceDE w:val="0"/>
        <w:autoSpaceDN w:val="0"/>
        <w:adjustRightInd w:val="0"/>
        <w:spacing w:line="440" w:lineRule="exact"/>
        <w:ind w:left="500"/>
        <w:jc w:val="left"/>
        <w:rPr>
          <w:rFonts w:ascii="宋体" w:hAnsi="宋体"/>
          <w:b/>
          <w:color w:val="auto"/>
          <w:kern w:val="0"/>
          <w:sz w:val="24"/>
        </w:rPr>
      </w:pPr>
      <w:r>
        <w:rPr>
          <w:rFonts w:ascii="宋体" w:hAnsi="宋体"/>
          <w:b/>
          <w:color w:val="auto"/>
          <w:kern w:val="0"/>
          <w:sz w:val="24"/>
        </w:rPr>
        <w:t>4、踏勘现场</w:t>
      </w:r>
    </w:p>
    <w:p w14:paraId="5D87628D">
      <w:pPr>
        <w:numPr>
          <w:ilvl w:val="0"/>
          <w:numId w:val="2"/>
        </w:numPr>
        <w:tabs>
          <w:tab w:val="left" w:pos="875"/>
          <w:tab w:val="clear" w:pos="720"/>
        </w:tabs>
        <w:overflowPunct w:val="0"/>
        <w:autoSpaceDE w:val="0"/>
        <w:autoSpaceDN w:val="0"/>
        <w:adjustRightInd w:val="0"/>
        <w:spacing w:line="440" w:lineRule="exact"/>
        <w:ind w:left="0" w:firstLine="498"/>
        <w:rPr>
          <w:rFonts w:ascii="宋体" w:hAnsi="宋体"/>
          <w:color w:val="auto"/>
          <w:kern w:val="0"/>
          <w:sz w:val="24"/>
        </w:rPr>
      </w:pPr>
      <w:r>
        <w:rPr>
          <w:rFonts w:ascii="宋体" w:hAnsi="宋体"/>
          <w:color w:val="auto"/>
          <w:kern w:val="0"/>
          <w:sz w:val="24"/>
        </w:rPr>
        <w:t>经招标人允许，投标人可为踏勘目的进入招标人的项目现场，但投标人不得因此使招标人承担有关的责任和蒙受损失，投标人应承担踏勘现场的责任和风险。</w:t>
      </w:r>
    </w:p>
    <w:p w14:paraId="29FA5952">
      <w:pPr>
        <w:numPr>
          <w:ilvl w:val="0"/>
          <w:numId w:val="2"/>
        </w:numPr>
        <w:tabs>
          <w:tab w:val="left" w:pos="875"/>
          <w:tab w:val="clear" w:pos="720"/>
        </w:tabs>
        <w:overflowPunct w:val="0"/>
        <w:autoSpaceDE w:val="0"/>
        <w:autoSpaceDN w:val="0"/>
        <w:adjustRightInd w:val="0"/>
        <w:spacing w:line="440" w:lineRule="exact"/>
        <w:ind w:left="0" w:firstLine="498"/>
        <w:rPr>
          <w:rFonts w:ascii="宋体" w:hAnsi="宋体"/>
          <w:color w:val="auto"/>
          <w:kern w:val="0"/>
          <w:sz w:val="24"/>
        </w:rPr>
      </w:pPr>
      <w:r>
        <w:rPr>
          <w:rFonts w:ascii="宋体" w:hAnsi="宋体"/>
          <w:color w:val="auto"/>
          <w:kern w:val="0"/>
          <w:sz w:val="24"/>
        </w:rPr>
        <w:t>投标人自行对工程现场及周围环境进行踏勘，以便投标人获取有关编制投标文件和签署合同所涉及的现场资料。投标人承担踏勘现场发生的一切费用。</w:t>
      </w:r>
    </w:p>
    <w:p w14:paraId="00318390">
      <w:pPr>
        <w:numPr>
          <w:ilvl w:val="0"/>
          <w:numId w:val="2"/>
        </w:numPr>
        <w:tabs>
          <w:tab w:val="left" w:pos="875"/>
          <w:tab w:val="clear" w:pos="720"/>
        </w:tabs>
        <w:overflowPunct w:val="0"/>
        <w:autoSpaceDE w:val="0"/>
        <w:autoSpaceDN w:val="0"/>
        <w:adjustRightInd w:val="0"/>
        <w:spacing w:line="440" w:lineRule="exact"/>
        <w:ind w:left="0" w:firstLine="498"/>
        <w:rPr>
          <w:rFonts w:ascii="宋体" w:hAnsi="宋体"/>
          <w:color w:val="auto"/>
          <w:kern w:val="0"/>
          <w:sz w:val="24"/>
        </w:rPr>
      </w:pPr>
      <w:r>
        <w:rPr>
          <w:rFonts w:ascii="宋体" w:hAnsi="宋体"/>
          <w:color w:val="auto"/>
          <w:kern w:val="0"/>
          <w:sz w:val="24"/>
        </w:rPr>
        <w:t>招标人向投标人提供的有关现场的数据和资料，是招标人现有的能被投标人利用的资料，招标人对投标人作出的任何推论、理解和结论均不负责任。</w:t>
      </w:r>
    </w:p>
    <w:p w14:paraId="191005DA">
      <w:pPr>
        <w:numPr>
          <w:ilvl w:val="0"/>
          <w:numId w:val="2"/>
        </w:numPr>
        <w:tabs>
          <w:tab w:val="left" w:pos="875"/>
          <w:tab w:val="clear" w:pos="720"/>
        </w:tabs>
        <w:overflowPunct w:val="0"/>
        <w:autoSpaceDE w:val="0"/>
        <w:autoSpaceDN w:val="0"/>
        <w:adjustRightInd w:val="0"/>
        <w:spacing w:line="440" w:lineRule="exact"/>
        <w:ind w:left="0" w:firstLine="498"/>
        <w:rPr>
          <w:rFonts w:ascii="宋体" w:hAnsi="宋体"/>
          <w:color w:val="auto"/>
          <w:kern w:val="0"/>
          <w:sz w:val="24"/>
        </w:rPr>
      </w:pPr>
      <w:r>
        <w:rPr>
          <w:rFonts w:ascii="宋体" w:hAnsi="宋体"/>
          <w:color w:val="auto"/>
          <w:kern w:val="0"/>
          <w:sz w:val="24"/>
        </w:rPr>
        <w:t>投标人应充分考虑标书制作过程中的数据变化因素，检查确认标书内容的正确完整和对招标文件的响应程度。</w:t>
      </w:r>
    </w:p>
    <w:p w14:paraId="0874D4EC">
      <w:pPr>
        <w:pStyle w:val="3"/>
        <w:spacing w:line="440" w:lineRule="exact"/>
        <w:jc w:val="center"/>
        <w:rPr>
          <w:rFonts w:ascii="宋体" w:hAnsi="宋体" w:eastAsia="宋体"/>
          <w:color w:val="auto"/>
          <w:sz w:val="24"/>
          <w:szCs w:val="24"/>
        </w:rPr>
      </w:pPr>
      <w:bookmarkStart w:id="24" w:name="_Toc380680822"/>
      <w:bookmarkStart w:id="25" w:name="_Toc380681015"/>
      <w:bookmarkStart w:id="26" w:name="_Toc380681234"/>
      <w:r>
        <w:rPr>
          <w:rFonts w:ascii="宋体" w:hAnsi="宋体" w:eastAsia="宋体"/>
          <w:color w:val="auto"/>
          <w:sz w:val="24"/>
          <w:szCs w:val="24"/>
        </w:rPr>
        <w:t>（二）招标文件</w:t>
      </w:r>
      <w:bookmarkEnd w:id="24"/>
      <w:bookmarkEnd w:id="25"/>
      <w:bookmarkEnd w:id="26"/>
    </w:p>
    <w:p w14:paraId="50E182E4">
      <w:pPr>
        <w:autoSpaceDE w:val="0"/>
        <w:autoSpaceDN w:val="0"/>
        <w:adjustRightInd w:val="0"/>
        <w:spacing w:line="440" w:lineRule="exact"/>
        <w:ind w:left="500"/>
        <w:jc w:val="left"/>
        <w:rPr>
          <w:rFonts w:ascii="宋体" w:hAnsi="宋体"/>
          <w:b/>
          <w:color w:val="auto"/>
          <w:kern w:val="0"/>
          <w:sz w:val="24"/>
        </w:rPr>
      </w:pPr>
      <w:r>
        <w:rPr>
          <w:rFonts w:ascii="宋体" w:hAnsi="宋体"/>
          <w:b/>
          <w:color w:val="auto"/>
          <w:kern w:val="0"/>
          <w:sz w:val="24"/>
        </w:rPr>
        <w:t>5</w:t>
      </w:r>
      <w:r>
        <w:rPr>
          <w:rFonts w:hint="eastAsia" w:ascii="宋体" w:hAnsi="宋体"/>
          <w:b/>
          <w:color w:val="auto"/>
          <w:kern w:val="0"/>
          <w:sz w:val="24"/>
        </w:rPr>
        <w:t>、</w:t>
      </w:r>
      <w:r>
        <w:rPr>
          <w:rFonts w:ascii="宋体" w:hAnsi="宋体"/>
          <w:b/>
          <w:color w:val="auto"/>
          <w:kern w:val="0"/>
          <w:sz w:val="24"/>
        </w:rPr>
        <w:t>招标文件的组成</w:t>
      </w:r>
    </w:p>
    <w:p w14:paraId="0D6420B5">
      <w:pPr>
        <w:spacing w:line="440" w:lineRule="exact"/>
        <w:ind w:firstLine="480" w:firstLineChars="200"/>
        <w:rPr>
          <w:rFonts w:ascii="宋体" w:hAnsi="宋体"/>
          <w:color w:val="auto"/>
          <w:sz w:val="24"/>
        </w:rPr>
      </w:pPr>
      <w:r>
        <w:rPr>
          <w:rFonts w:ascii="宋体" w:hAnsi="宋体"/>
          <w:color w:val="auto"/>
          <w:sz w:val="24"/>
        </w:rPr>
        <w:t>5.1招标文件包括下列内容：</w:t>
      </w:r>
    </w:p>
    <w:p w14:paraId="1BDE881A">
      <w:pPr>
        <w:spacing w:line="440" w:lineRule="exact"/>
        <w:ind w:firstLine="480" w:firstLineChars="200"/>
        <w:rPr>
          <w:rFonts w:ascii="宋体" w:hAnsi="宋体"/>
          <w:color w:val="auto"/>
          <w:sz w:val="24"/>
        </w:rPr>
      </w:pPr>
      <w:r>
        <w:rPr>
          <w:rFonts w:ascii="宋体" w:hAnsi="宋体"/>
          <w:color w:val="auto"/>
          <w:sz w:val="24"/>
        </w:rPr>
        <w:t>第一章：投标须知</w:t>
      </w:r>
    </w:p>
    <w:p w14:paraId="0F61020F">
      <w:pPr>
        <w:spacing w:line="440" w:lineRule="exact"/>
        <w:ind w:firstLine="480"/>
        <w:rPr>
          <w:rFonts w:ascii="宋体" w:hAnsi="宋体"/>
          <w:color w:val="auto"/>
          <w:sz w:val="24"/>
        </w:rPr>
      </w:pPr>
      <w:r>
        <w:rPr>
          <w:rFonts w:ascii="宋体" w:hAnsi="宋体"/>
          <w:color w:val="auto"/>
          <w:sz w:val="24"/>
        </w:rPr>
        <w:t>第二章：评标办法</w:t>
      </w:r>
    </w:p>
    <w:p w14:paraId="619CA550">
      <w:pPr>
        <w:spacing w:line="440" w:lineRule="exact"/>
        <w:ind w:firstLine="480"/>
        <w:rPr>
          <w:rFonts w:ascii="宋体" w:hAnsi="宋体"/>
          <w:color w:val="auto"/>
          <w:sz w:val="24"/>
        </w:rPr>
      </w:pPr>
      <w:r>
        <w:rPr>
          <w:rFonts w:ascii="宋体" w:hAnsi="宋体"/>
          <w:color w:val="auto"/>
          <w:sz w:val="24"/>
        </w:rPr>
        <w:t>第三章：合同条款</w:t>
      </w:r>
    </w:p>
    <w:p w14:paraId="41BC4DCA">
      <w:pPr>
        <w:spacing w:line="440" w:lineRule="exact"/>
        <w:ind w:firstLine="480"/>
        <w:rPr>
          <w:rFonts w:ascii="宋体" w:hAnsi="宋体"/>
          <w:color w:val="auto"/>
          <w:sz w:val="24"/>
        </w:rPr>
      </w:pPr>
      <w:r>
        <w:rPr>
          <w:rFonts w:ascii="宋体" w:hAnsi="宋体"/>
          <w:color w:val="auto"/>
          <w:sz w:val="24"/>
        </w:rPr>
        <w:t>第四章：工程建设标准</w:t>
      </w:r>
    </w:p>
    <w:p w14:paraId="771B033B">
      <w:pPr>
        <w:spacing w:line="440" w:lineRule="exact"/>
        <w:ind w:firstLine="480"/>
        <w:rPr>
          <w:rFonts w:ascii="宋体" w:hAnsi="宋体"/>
          <w:color w:val="auto"/>
          <w:sz w:val="24"/>
        </w:rPr>
      </w:pPr>
      <w:r>
        <w:rPr>
          <w:rFonts w:ascii="宋体" w:hAnsi="宋体"/>
          <w:color w:val="auto"/>
          <w:sz w:val="24"/>
        </w:rPr>
        <w:t>第五章：图纸、技术资料及附件</w:t>
      </w:r>
    </w:p>
    <w:p w14:paraId="5B33A8E8">
      <w:pPr>
        <w:spacing w:line="440" w:lineRule="exact"/>
        <w:ind w:firstLine="480"/>
        <w:rPr>
          <w:rFonts w:ascii="宋体" w:hAnsi="宋体"/>
          <w:color w:val="auto"/>
          <w:sz w:val="24"/>
        </w:rPr>
      </w:pPr>
      <w:r>
        <w:rPr>
          <w:rFonts w:ascii="宋体" w:hAnsi="宋体"/>
          <w:color w:val="auto"/>
          <w:sz w:val="24"/>
        </w:rPr>
        <w:t>第六章：投标文件格式</w:t>
      </w:r>
    </w:p>
    <w:p w14:paraId="33CB7075">
      <w:pPr>
        <w:spacing w:line="440" w:lineRule="exact"/>
        <w:ind w:firstLine="480"/>
        <w:rPr>
          <w:rFonts w:ascii="宋体" w:hAnsi="宋体"/>
          <w:color w:val="auto"/>
          <w:sz w:val="24"/>
        </w:rPr>
      </w:pPr>
      <w:r>
        <w:rPr>
          <w:rFonts w:ascii="宋体" w:hAnsi="宋体"/>
          <w:color w:val="auto"/>
          <w:sz w:val="24"/>
        </w:rPr>
        <w:t>第七章：资格审查证明材料</w:t>
      </w:r>
    </w:p>
    <w:p w14:paraId="0E9701F1">
      <w:pPr>
        <w:spacing w:line="440" w:lineRule="exact"/>
        <w:ind w:firstLine="480"/>
        <w:rPr>
          <w:rFonts w:ascii="宋体" w:hAnsi="宋体"/>
          <w:color w:val="auto"/>
          <w:sz w:val="24"/>
        </w:rPr>
      </w:pPr>
      <w:r>
        <w:rPr>
          <w:rFonts w:ascii="宋体" w:hAnsi="宋体"/>
          <w:color w:val="auto"/>
          <w:sz w:val="24"/>
        </w:rPr>
        <w:t>第八章：工程量清单</w:t>
      </w:r>
    </w:p>
    <w:p w14:paraId="5BBE9E48">
      <w:pPr>
        <w:spacing w:line="440" w:lineRule="exact"/>
        <w:ind w:firstLine="480"/>
        <w:rPr>
          <w:rFonts w:ascii="宋体" w:hAnsi="宋体"/>
          <w:color w:val="auto"/>
          <w:sz w:val="24"/>
        </w:rPr>
      </w:pPr>
      <w:r>
        <w:rPr>
          <w:rFonts w:ascii="宋体" w:hAnsi="宋体"/>
          <w:color w:val="auto"/>
          <w:sz w:val="24"/>
        </w:rPr>
        <w:t>5.2</w:t>
      </w:r>
      <w:r>
        <w:rPr>
          <w:rFonts w:hint="eastAsia" w:asciiTheme="minorEastAsia" w:hAnsiTheme="minorEastAsia" w:eastAsiaTheme="minorEastAsia"/>
          <w:color w:val="auto"/>
          <w:spacing w:val="-4"/>
          <w:sz w:val="24"/>
        </w:rPr>
        <w:t>根据本章第6、7款对招标文件所作的澄清、修改，构成招标文件的组成部分。投标人在投标截止时间前，应随时查阅有关该工程招标文件的澄清、招标文件的修改(招标答疑、补遗文件)等内容。投标人查阅如有遗漏，其风险应由投标人自行承担。</w:t>
      </w:r>
    </w:p>
    <w:p w14:paraId="53D33850">
      <w:pPr>
        <w:autoSpaceDE w:val="0"/>
        <w:autoSpaceDN w:val="0"/>
        <w:adjustRightInd w:val="0"/>
        <w:spacing w:line="440" w:lineRule="exact"/>
        <w:ind w:left="500"/>
        <w:jc w:val="left"/>
        <w:rPr>
          <w:rFonts w:ascii="宋体" w:hAnsi="宋体"/>
          <w:b/>
          <w:color w:val="auto"/>
          <w:kern w:val="0"/>
          <w:sz w:val="24"/>
        </w:rPr>
      </w:pPr>
      <w:r>
        <w:rPr>
          <w:rFonts w:ascii="宋体" w:hAnsi="宋体"/>
          <w:b/>
          <w:color w:val="auto"/>
          <w:kern w:val="0"/>
          <w:sz w:val="24"/>
        </w:rPr>
        <w:t>6、招标文件的澄清</w:t>
      </w:r>
    </w:p>
    <w:p w14:paraId="3EA0EEA5">
      <w:pPr>
        <w:spacing w:line="440" w:lineRule="exact"/>
        <w:ind w:firstLine="480"/>
        <w:rPr>
          <w:rFonts w:ascii="宋体" w:hAnsi="宋体"/>
          <w:color w:val="auto"/>
          <w:sz w:val="24"/>
        </w:rPr>
      </w:pPr>
      <w:r>
        <w:rPr>
          <w:rFonts w:ascii="宋体" w:hAnsi="宋体"/>
          <w:color w:val="auto"/>
          <w:sz w:val="24"/>
        </w:rPr>
        <w:t>6.1</w:t>
      </w:r>
      <w:r>
        <w:rPr>
          <w:rFonts w:hint="eastAsia" w:asciiTheme="minorEastAsia" w:hAnsiTheme="minorEastAsia" w:eastAsiaTheme="minorEastAsia"/>
          <w:color w:val="auto"/>
          <w:sz w:val="24"/>
        </w:rPr>
        <w:t>招标人不组织集中答疑，投标人如对招标</w:t>
      </w:r>
      <w:r>
        <w:rPr>
          <w:rFonts w:asciiTheme="minorEastAsia" w:hAnsiTheme="minorEastAsia" w:eastAsiaTheme="minorEastAsia"/>
          <w:color w:val="auto"/>
          <w:sz w:val="24"/>
        </w:rPr>
        <w:t>公告、招标文件、工程量清单</w:t>
      </w:r>
      <w:r>
        <w:rPr>
          <w:rFonts w:hint="eastAsia" w:asciiTheme="minorEastAsia" w:hAnsiTheme="minorEastAsia" w:eastAsiaTheme="minorEastAsia"/>
          <w:color w:val="auto"/>
          <w:sz w:val="24"/>
        </w:rPr>
        <w:t>、</w:t>
      </w:r>
      <w:r>
        <w:rPr>
          <w:rFonts w:asciiTheme="minorEastAsia" w:hAnsiTheme="minorEastAsia" w:eastAsiaTheme="minorEastAsia"/>
          <w:color w:val="auto"/>
          <w:sz w:val="24"/>
        </w:rPr>
        <w:t>图纸等</w:t>
      </w:r>
      <w:r>
        <w:rPr>
          <w:rFonts w:hint="eastAsia" w:asciiTheme="minorEastAsia" w:hAnsiTheme="minorEastAsia" w:eastAsiaTheme="minorEastAsia"/>
          <w:color w:val="auto"/>
          <w:sz w:val="24"/>
        </w:rPr>
        <w:t>文件</w:t>
      </w:r>
      <w:r>
        <w:rPr>
          <w:rFonts w:asciiTheme="minorEastAsia" w:hAnsiTheme="minorEastAsia" w:eastAsiaTheme="minorEastAsia"/>
          <w:color w:val="auto"/>
          <w:sz w:val="24"/>
        </w:rPr>
        <w:t>存在前后矛盾</w:t>
      </w:r>
      <w:r>
        <w:rPr>
          <w:rFonts w:hint="eastAsia" w:asciiTheme="minorEastAsia" w:hAnsiTheme="minorEastAsia" w:eastAsiaTheme="minorEastAsia"/>
          <w:color w:val="auto"/>
          <w:sz w:val="24"/>
        </w:rPr>
        <w:t>，</w:t>
      </w:r>
      <w:r>
        <w:rPr>
          <w:rFonts w:asciiTheme="minorEastAsia" w:hAnsiTheme="minorEastAsia" w:eastAsiaTheme="minorEastAsia"/>
          <w:color w:val="auto"/>
          <w:sz w:val="24"/>
        </w:rPr>
        <w:t>部分</w:t>
      </w:r>
      <w:r>
        <w:rPr>
          <w:rFonts w:hint="eastAsia" w:asciiTheme="minorEastAsia" w:hAnsiTheme="minorEastAsia" w:eastAsiaTheme="minorEastAsia"/>
          <w:color w:val="auto"/>
          <w:sz w:val="24"/>
        </w:rPr>
        <w:t>条款说明</w:t>
      </w:r>
      <w:r>
        <w:rPr>
          <w:rFonts w:asciiTheme="minorEastAsia" w:hAnsiTheme="minorEastAsia" w:eastAsiaTheme="minorEastAsia"/>
          <w:color w:val="auto"/>
          <w:sz w:val="24"/>
        </w:rPr>
        <w:t>不清、存在</w:t>
      </w:r>
      <w:r>
        <w:rPr>
          <w:rFonts w:hint="eastAsia" w:asciiTheme="minorEastAsia" w:hAnsiTheme="minorEastAsia" w:eastAsiaTheme="minorEastAsia"/>
          <w:color w:val="auto"/>
          <w:sz w:val="24"/>
        </w:rPr>
        <w:t>歧义、</w:t>
      </w:r>
      <w:r>
        <w:rPr>
          <w:rFonts w:asciiTheme="minorEastAsia" w:hAnsiTheme="minorEastAsia" w:eastAsiaTheme="minorEastAsia"/>
          <w:color w:val="auto"/>
          <w:sz w:val="24"/>
        </w:rPr>
        <w:t>违反相关</w:t>
      </w:r>
      <w:r>
        <w:rPr>
          <w:rFonts w:hint="eastAsia" w:asciiTheme="minorEastAsia" w:hAnsiTheme="minorEastAsia" w:eastAsiaTheme="minorEastAsia"/>
          <w:color w:val="auto"/>
          <w:sz w:val="24"/>
        </w:rPr>
        <w:t>法律</w:t>
      </w:r>
      <w:r>
        <w:rPr>
          <w:rFonts w:asciiTheme="minorEastAsia" w:hAnsiTheme="minorEastAsia" w:eastAsiaTheme="minorEastAsia"/>
          <w:color w:val="auto"/>
          <w:sz w:val="24"/>
        </w:rPr>
        <w:t>法规</w:t>
      </w:r>
      <w:r>
        <w:rPr>
          <w:rFonts w:hint="eastAsia" w:asciiTheme="minorEastAsia" w:hAnsiTheme="minorEastAsia" w:eastAsiaTheme="minorEastAsia"/>
          <w:color w:val="auto"/>
          <w:sz w:val="24"/>
        </w:rPr>
        <w:t>，</w:t>
      </w:r>
      <w:r>
        <w:rPr>
          <w:rFonts w:asciiTheme="minorEastAsia" w:hAnsiTheme="minorEastAsia" w:eastAsiaTheme="minorEastAsia"/>
          <w:color w:val="auto"/>
          <w:sz w:val="24"/>
        </w:rPr>
        <w:t>存在</w:t>
      </w:r>
      <w:r>
        <w:rPr>
          <w:rFonts w:hint="eastAsia" w:asciiTheme="minorEastAsia" w:hAnsiTheme="minorEastAsia" w:eastAsiaTheme="minorEastAsia"/>
          <w:color w:val="auto"/>
          <w:sz w:val="24"/>
        </w:rPr>
        <w:t>限制性</w:t>
      </w:r>
      <w:r>
        <w:rPr>
          <w:rFonts w:asciiTheme="minorEastAsia" w:hAnsiTheme="minorEastAsia" w:eastAsiaTheme="minorEastAsia"/>
          <w:color w:val="auto"/>
          <w:sz w:val="24"/>
        </w:rPr>
        <w:t>条款</w:t>
      </w:r>
      <w:r>
        <w:rPr>
          <w:rFonts w:hint="eastAsia" w:asciiTheme="minorEastAsia" w:hAnsiTheme="minorEastAsia" w:eastAsiaTheme="minorEastAsia"/>
          <w:color w:val="auto"/>
          <w:sz w:val="24"/>
        </w:rPr>
        <w:t>等有</w:t>
      </w:r>
      <w:r>
        <w:rPr>
          <w:rFonts w:asciiTheme="minorEastAsia" w:hAnsiTheme="minorEastAsia" w:eastAsiaTheme="minorEastAsia"/>
          <w:color w:val="auto"/>
          <w:sz w:val="24"/>
        </w:rPr>
        <w:t>疑问的</w:t>
      </w:r>
      <w:r>
        <w:rPr>
          <w:rFonts w:hint="eastAsia" w:asciiTheme="minorEastAsia" w:hAnsiTheme="minorEastAsia" w:eastAsiaTheme="minorEastAsia"/>
          <w:color w:val="auto"/>
          <w:sz w:val="24"/>
        </w:rPr>
        <w:t>应在</w:t>
      </w:r>
      <w:r>
        <w:rPr>
          <w:rFonts w:hint="eastAsia" w:asciiTheme="minorEastAsia" w:hAnsiTheme="minorEastAsia" w:eastAsiaTheme="minorEastAsia"/>
          <w:color w:val="auto"/>
          <w:sz w:val="24"/>
          <w:u w:val="single"/>
        </w:rPr>
        <w:t>202</w:t>
      </w:r>
      <w:r>
        <w:rPr>
          <w:rFonts w:hint="eastAsia" w:asciiTheme="minorEastAsia" w:hAnsiTheme="minorEastAsia" w:eastAsiaTheme="minorEastAsia"/>
          <w:color w:val="auto"/>
          <w:sz w:val="24"/>
          <w:u w:val="single"/>
          <w:lang w:val="en-US" w:eastAsia="zh-CN"/>
        </w:rPr>
        <w:t>6</w:t>
      </w:r>
      <w:r>
        <w:rPr>
          <w:rFonts w:hint="eastAsia" w:asciiTheme="minorEastAsia" w:hAnsiTheme="minorEastAsia" w:eastAsiaTheme="minorEastAsia"/>
          <w:color w:val="auto"/>
          <w:sz w:val="24"/>
          <w:u w:val="single"/>
        </w:rPr>
        <w:t>年</w:t>
      </w:r>
      <w:r>
        <w:rPr>
          <w:rFonts w:hint="eastAsia" w:asciiTheme="minorEastAsia" w:hAnsiTheme="minorEastAsia" w:eastAsiaTheme="minorEastAsia"/>
          <w:color w:val="auto"/>
          <w:sz w:val="24"/>
          <w:u w:val="single"/>
          <w:lang w:val="en-US" w:eastAsia="zh-CN"/>
        </w:rPr>
        <w:t>10</w:t>
      </w:r>
      <w:r>
        <w:rPr>
          <w:rFonts w:hint="eastAsia" w:asciiTheme="minorEastAsia" w:hAnsiTheme="minorEastAsia" w:eastAsiaTheme="minorEastAsia"/>
          <w:color w:val="auto"/>
          <w:sz w:val="24"/>
          <w:u w:val="single"/>
        </w:rPr>
        <w:t>月</w:t>
      </w:r>
      <w:r>
        <w:rPr>
          <w:rFonts w:hint="eastAsia" w:asciiTheme="minorEastAsia" w:hAnsiTheme="minorEastAsia" w:eastAsiaTheme="minorEastAsia"/>
          <w:color w:val="auto"/>
          <w:sz w:val="24"/>
          <w:u w:val="single"/>
          <w:lang w:val="en-US" w:eastAsia="zh-CN"/>
        </w:rPr>
        <w:t>15</w:t>
      </w:r>
      <w:r>
        <w:rPr>
          <w:rFonts w:hint="eastAsia" w:asciiTheme="minorEastAsia" w:hAnsiTheme="minorEastAsia" w:eastAsiaTheme="minorEastAsia"/>
          <w:color w:val="auto"/>
          <w:sz w:val="24"/>
          <w:u w:val="single"/>
        </w:rPr>
        <w:t>日17：00时</w:t>
      </w:r>
      <w:r>
        <w:rPr>
          <w:rFonts w:hint="eastAsia" w:asciiTheme="minorEastAsia" w:hAnsiTheme="minorEastAsia" w:eastAsiaTheme="minorEastAsia"/>
          <w:color w:val="auto"/>
          <w:sz w:val="24"/>
        </w:rPr>
        <w:t>前向招标人提出澄清要求，</w:t>
      </w:r>
      <w:r>
        <w:rPr>
          <w:color w:val="auto"/>
        </w:rPr>
        <w:fldChar w:fldCharType="begin"/>
      </w:r>
      <w:r>
        <w:rPr>
          <w:color w:val="auto"/>
        </w:rPr>
        <w:instrText xml:space="preserve"> HYPERLINK "mailto:以电子文件形式发送至550362779@qq.com" </w:instrText>
      </w:r>
      <w:r>
        <w:rPr>
          <w:color w:val="auto"/>
        </w:rPr>
        <w:fldChar w:fldCharType="separate"/>
      </w:r>
      <w:r>
        <w:rPr>
          <w:rFonts w:hint="eastAsia" w:asciiTheme="minorEastAsia" w:hAnsiTheme="minorEastAsia" w:eastAsiaTheme="minorEastAsia"/>
          <w:color w:val="auto"/>
          <w:sz w:val="24"/>
        </w:rPr>
        <w:t>以电子文件形式发送至</w:t>
      </w:r>
      <w:r>
        <w:rPr>
          <w:rFonts w:hint="eastAsia" w:asciiTheme="minorEastAsia" w:hAnsiTheme="minorEastAsia" w:eastAsiaTheme="minorEastAsia"/>
          <w:color w:val="auto"/>
          <w:sz w:val="24"/>
        </w:rPr>
        <w:fldChar w:fldCharType="end"/>
      </w:r>
      <w:r>
        <w:rPr>
          <w:rFonts w:hint="eastAsia" w:asciiTheme="minorEastAsia" w:hAnsiTheme="minorEastAsia" w:eastAsiaTheme="minorEastAsia"/>
          <w:color w:val="auto"/>
          <w:sz w:val="24"/>
        </w:rPr>
        <w:t>指定邮箱</w:t>
      </w:r>
      <w:r>
        <w:rPr>
          <w:rFonts w:asciiTheme="minorEastAsia" w:hAnsiTheme="minorEastAsia" w:eastAsiaTheme="minorEastAsia"/>
          <w:color w:val="auto"/>
          <w:sz w:val="24"/>
        </w:rPr>
        <w:t>：</w:t>
      </w:r>
      <w:r>
        <w:rPr>
          <w:color w:val="auto"/>
        </w:rPr>
        <w:fldChar w:fldCharType="begin"/>
      </w:r>
      <w:r>
        <w:rPr>
          <w:color w:val="auto"/>
        </w:rPr>
        <w:instrText xml:space="preserve"> HYPERLINK "mailto:362580477@qq.com（加盖单位公章）。招标人在收到疑问材料后2日内予以解答，并于2017年" </w:instrText>
      </w:r>
      <w:r>
        <w:rPr>
          <w:color w:val="auto"/>
        </w:rPr>
        <w:fldChar w:fldCharType="separate"/>
      </w:r>
      <w:r>
        <w:rPr>
          <w:rStyle w:val="54"/>
          <w:rFonts w:hint="eastAsia" w:asciiTheme="minorEastAsia" w:hAnsiTheme="minorEastAsia" w:eastAsiaTheme="minorEastAsia"/>
          <w:color w:val="auto"/>
          <w:sz w:val="24"/>
          <w:lang w:eastAsia="zh-CN"/>
        </w:rPr>
        <w:t>458101863</w:t>
      </w:r>
      <w:r>
        <w:rPr>
          <w:rStyle w:val="54"/>
          <w:rFonts w:asciiTheme="minorEastAsia" w:hAnsiTheme="minorEastAsia" w:eastAsiaTheme="minorEastAsia"/>
          <w:color w:val="auto"/>
          <w:sz w:val="24"/>
        </w:rPr>
        <w:t>@qq.com</w:t>
      </w:r>
      <w:r>
        <w:rPr>
          <w:rStyle w:val="54"/>
          <w:rFonts w:asciiTheme="minorEastAsia" w:hAnsiTheme="minorEastAsia" w:eastAsiaTheme="minorEastAsia"/>
          <w:color w:val="auto"/>
          <w:sz w:val="24"/>
          <w:u w:val="none"/>
        </w:rPr>
        <w:t>。招标人在收到疑问材料后</w:t>
      </w:r>
      <w:r>
        <w:rPr>
          <w:rStyle w:val="54"/>
          <w:rFonts w:asciiTheme="minorEastAsia" w:hAnsiTheme="minorEastAsia" w:eastAsiaTheme="minorEastAsia"/>
          <w:color w:val="auto"/>
          <w:sz w:val="24"/>
          <w:u w:val="none"/>
        </w:rPr>
        <w:fldChar w:fldCharType="end"/>
      </w:r>
      <w:r>
        <w:rPr>
          <w:rFonts w:hint="eastAsia" w:asciiTheme="minorEastAsia" w:hAnsiTheme="minorEastAsia" w:eastAsiaTheme="minorEastAsia"/>
          <w:color w:val="auto"/>
          <w:sz w:val="24"/>
        </w:rPr>
        <w:t>将解答内容在</w:t>
      </w:r>
      <w:r>
        <w:rPr>
          <w:rFonts w:hint="eastAsia" w:ascii="宋体" w:hAnsi="宋体"/>
          <w:color w:val="auto"/>
          <w:kern w:val="0"/>
          <w:sz w:val="24"/>
        </w:rPr>
        <w:t>“</w:t>
      </w:r>
      <w:r>
        <w:rPr>
          <w:rFonts w:hint="eastAsia" w:ascii="宋体" w:hAnsi="宋体"/>
          <w:color w:val="auto"/>
          <w:kern w:val="0"/>
          <w:sz w:val="24"/>
          <w:lang w:eastAsia="zh-CN"/>
        </w:rPr>
        <w:t>南通汽运实业集团有限公司 (https://www.ntqyjt.com.cn/)或南通农副产品物流有限公司 （http://www.ntnfcp.com/）</w:t>
      </w:r>
      <w:r>
        <w:rPr>
          <w:rFonts w:hint="eastAsia" w:ascii="宋体" w:hAnsi="宋体"/>
          <w:color w:val="auto"/>
          <w:kern w:val="0"/>
          <w:sz w:val="24"/>
        </w:rPr>
        <w:t>”</w:t>
      </w:r>
      <w:r>
        <w:rPr>
          <w:rFonts w:hint="eastAsia" w:cs="宋体" w:asciiTheme="minorEastAsia" w:hAnsiTheme="minorEastAsia" w:eastAsiaTheme="minorEastAsia"/>
          <w:color w:val="auto"/>
          <w:kern w:val="0"/>
          <w:sz w:val="24"/>
        </w:rPr>
        <w:t>中公布</w:t>
      </w:r>
      <w:r>
        <w:rPr>
          <w:rFonts w:hint="eastAsia" w:asciiTheme="minorEastAsia" w:hAnsiTheme="minorEastAsia" w:eastAsiaTheme="minorEastAsia"/>
          <w:color w:val="auto"/>
          <w:sz w:val="24"/>
        </w:rPr>
        <w:t>给所有潜在投标人。</w:t>
      </w:r>
    </w:p>
    <w:p w14:paraId="146D8EBA">
      <w:pPr>
        <w:spacing w:line="440" w:lineRule="exact"/>
        <w:ind w:firstLine="482" w:firstLineChars="200"/>
        <w:rPr>
          <w:rFonts w:ascii="宋体" w:cs="宋体"/>
          <w:b/>
          <w:color w:val="auto"/>
          <w:sz w:val="24"/>
        </w:rPr>
      </w:pPr>
      <w:r>
        <w:rPr>
          <w:rFonts w:hint="eastAsia" w:ascii="宋体" w:cs="宋体"/>
          <w:b/>
          <w:color w:val="auto"/>
          <w:sz w:val="24"/>
        </w:rPr>
        <w:t>在开标截止时间前，投标人未以书面、电子文件形式提出疑问（质疑）的，视为投标人接受招标公告、招标文件所注全部条款。开标后投标人再对招标公告、招标文件等提出质疑或投诉的，招标人有理由不予受理，由此引起的损失由投标人自行承担。</w:t>
      </w:r>
    </w:p>
    <w:p w14:paraId="2175BC9A">
      <w:pPr>
        <w:spacing w:line="440" w:lineRule="exact"/>
        <w:ind w:firstLine="480"/>
        <w:rPr>
          <w:rFonts w:ascii="宋体" w:hAnsi="宋体"/>
          <w:color w:val="auto"/>
          <w:sz w:val="24"/>
        </w:rPr>
      </w:pPr>
      <w:r>
        <w:rPr>
          <w:rFonts w:ascii="宋体" w:hAnsi="宋体"/>
          <w:color w:val="auto"/>
          <w:sz w:val="24"/>
        </w:rPr>
        <w:t>在投标截止时间</w:t>
      </w:r>
      <w:r>
        <w:rPr>
          <w:rFonts w:hint="eastAsia" w:ascii="宋体" w:hAnsi="宋体"/>
          <w:color w:val="auto"/>
          <w:sz w:val="24"/>
        </w:rPr>
        <w:t>3</w:t>
      </w:r>
      <w:r>
        <w:rPr>
          <w:rFonts w:ascii="宋体" w:hAnsi="宋体"/>
          <w:color w:val="auto"/>
          <w:sz w:val="24"/>
        </w:rPr>
        <w:t>天前，招标人可以修改招标文件，并以书面形式在</w:t>
      </w:r>
      <w:r>
        <w:rPr>
          <w:rFonts w:hint="eastAsia" w:ascii="宋体" w:hAnsi="宋体"/>
          <w:color w:val="auto"/>
          <w:kern w:val="0"/>
          <w:sz w:val="24"/>
        </w:rPr>
        <w:t>“</w:t>
      </w:r>
      <w:r>
        <w:rPr>
          <w:rFonts w:hint="eastAsia" w:ascii="宋体" w:hAnsi="宋体"/>
          <w:color w:val="auto"/>
          <w:kern w:val="0"/>
          <w:sz w:val="24"/>
          <w:lang w:eastAsia="zh-CN"/>
        </w:rPr>
        <w:t>南通汽运实业集团有限公司 (https://www.ntqyjt.com.cn/)或南通农副产品物流有限公司 （http://www.ntnfcp.com/）</w:t>
      </w:r>
      <w:r>
        <w:rPr>
          <w:rFonts w:hint="eastAsia" w:ascii="宋体" w:hAnsi="宋体"/>
          <w:color w:val="auto"/>
          <w:kern w:val="0"/>
          <w:sz w:val="24"/>
        </w:rPr>
        <w:t>”</w:t>
      </w:r>
      <w:r>
        <w:rPr>
          <w:rFonts w:hint="eastAsia" w:cs="宋体" w:asciiTheme="minorEastAsia" w:hAnsiTheme="minorEastAsia" w:eastAsiaTheme="minorEastAsia"/>
          <w:color w:val="auto"/>
          <w:kern w:val="0"/>
          <w:sz w:val="24"/>
        </w:rPr>
        <w:t>中</w:t>
      </w:r>
      <w:r>
        <w:rPr>
          <w:rFonts w:ascii="宋体" w:hAnsi="宋体"/>
          <w:color w:val="auto"/>
          <w:sz w:val="24"/>
        </w:rPr>
        <w:t>发布。如果修改招标文件的时间距投标截止时间不足</w:t>
      </w:r>
      <w:r>
        <w:rPr>
          <w:rFonts w:hint="eastAsia" w:ascii="宋体" w:hAnsi="宋体"/>
          <w:color w:val="auto"/>
          <w:sz w:val="24"/>
        </w:rPr>
        <w:t>3</w:t>
      </w:r>
      <w:r>
        <w:rPr>
          <w:rFonts w:ascii="宋体" w:hAnsi="宋体"/>
          <w:color w:val="auto"/>
          <w:sz w:val="24"/>
        </w:rPr>
        <w:t>天，相应延长投标截止时间。</w:t>
      </w:r>
    </w:p>
    <w:p w14:paraId="1B57B836">
      <w:pPr>
        <w:autoSpaceDE w:val="0"/>
        <w:autoSpaceDN w:val="0"/>
        <w:adjustRightInd w:val="0"/>
        <w:spacing w:line="440" w:lineRule="exact"/>
        <w:ind w:left="500"/>
        <w:jc w:val="left"/>
        <w:rPr>
          <w:rFonts w:ascii="宋体" w:hAnsi="宋体"/>
          <w:b/>
          <w:color w:val="auto"/>
          <w:kern w:val="0"/>
          <w:sz w:val="24"/>
        </w:rPr>
      </w:pPr>
      <w:r>
        <w:rPr>
          <w:rFonts w:ascii="宋体" w:hAnsi="宋体"/>
          <w:b/>
          <w:color w:val="auto"/>
          <w:kern w:val="0"/>
          <w:sz w:val="24"/>
        </w:rPr>
        <w:t>7、招标文件的修改</w:t>
      </w:r>
    </w:p>
    <w:p w14:paraId="0B08ABD7">
      <w:pPr>
        <w:spacing w:line="440" w:lineRule="exact"/>
        <w:ind w:firstLine="480"/>
        <w:rPr>
          <w:rFonts w:ascii="宋体" w:hAnsi="宋体"/>
          <w:color w:val="auto"/>
          <w:sz w:val="24"/>
        </w:rPr>
      </w:pPr>
      <w:r>
        <w:rPr>
          <w:rFonts w:ascii="宋体" w:hAnsi="宋体"/>
          <w:color w:val="auto"/>
          <w:sz w:val="24"/>
        </w:rPr>
        <w:t>7.1招标文件发布后，在投标截止期前，确需对招标文件进行修改的，招标人以招标文件澄清、答疑方式，经</w:t>
      </w:r>
      <w:r>
        <w:rPr>
          <w:rFonts w:hint="eastAsia" w:ascii="宋体" w:hAnsi="宋体"/>
          <w:color w:val="auto"/>
          <w:kern w:val="0"/>
          <w:sz w:val="24"/>
        </w:rPr>
        <w:t>“</w:t>
      </w:r>
      <w:r>
        <w:rPr>
          <w:rFonts w:hint="eastAsia" w:ascii="宋体" w:hAnsi="宋体"/>
          <w:color w:val="auto"/>
          <w:kern w:val="0"/>
          <w:sz w:val="24"/>
          <w:lang w:eastAsia="zh-CN"/>
        </w:rPr>
        <w:t>南通汽运实业集团有限公司 (https://www.ntqyjt.com.cn/)或南通农副产品物流有限公司 （http://www.ntnfcp.com/）</w:t>
      </w:r>
      <w:r>
        <w:rPr>
          <w:rFonts w:hint="eastAsia" w:ascii="宋体" w:hAnsi="宋体"/>
          <w:color w:val="auto"/>
          <w:kern w:val="0"/>
          <w:sz w:val="24"/>
        </w:rPr>
        <w:t>”</w:t>
      </w:r>
      <w:r>
        <w:rPr>
          <w:rFonts w:ascii="宋体" w:hAnsi="宋体"/>
          <w:color w:val="auto"/>
          <w:sz w:val="24"/>
        </w:rPr>
        <w:t>向所有投标人</w:t>
      </w:r>
      <w:r>
        <w:rPr>
          <w:rFonts w:hint="eastAsia" w:ascii="宋体" w:hAnsi="宋体"/>
          <w:color w:val="auto"/>
          <w:sz w:val="24"/>
        </w:rPr>
        <w:t>发布</w:t>
      </w:r>
      <w:r>
        <w:rPr>
          <w:rFonts w:ascii="宋体" w:hAnsi="宋体"/>
          <w:color w:val="auto"/>
          <w:sz w:val="24"/>
        </w:rPr>
        <w:t>。</w:t>
      </w:r>
    </w:p>
    <w:p w14:paraId="4BF69B91">
      <w:pPr>
        <w:spacing w:line="440" w:lineRule="exact"/>
        <w:ind w:firstLine="480"/>
        <w:rPr>
          <w:rFonts w:ascii="宋体" w:hAnsi="宋体"/>
          <w:color w:val="auto"/>
          <w:sz w:val="24"/>
        </w:rPr>
      </w:pPr>
      <w:r>
        <w:rPr>
          <w:rFonts w:ascii="宋体" w:hAnsi="宋体"/>
          <w:color w:val="auto"/>
          <w:sz w:val="24"/>
        </w:rPr>
        <w:t>7.2招标人在投标截止期前对招标文件的所作澄清、答疑、修改作为招标文件的组成部分，对招标人、投标人均具有约束力。如果修改招标文件时间距投标截止时间不足</w:t>
      </w:r>
      <w:r>
        <w:rPr>
          <w:rFonts w:hint="eastAsia" w:ascii="宋体" w:hAnsi="宋体"/>
          <w:color w:val="auto"/>
          <w:sz w:val="24"/>
        </w:rPr>
        <w:t>3</w:t>
      </w:r>
      <w:r>
        <w:rPr>
          <w:rFonts w:ascii="宋体" w:hAnsi="宋体"/>
          <w:color w:val="auto"/>
          <w:sz w:val="24"/>
        </w:rPr>
        <w:t>天，为保证投标人合理时间编制投标文件，招标人应合理延长递交投标文件的截止日期。</w:t>
      </w:r>
    </w:p>
    <w:p w14:paraId="2DFF1521">
      <w:pPr>
        <w:spacing w:line="440" w:lineRule="exact"/>
        <w:ind w:firstLine="480"/>
        <w:rPr>
          <w:rFonts w:ascii="宋体" w:hAnsi="宋体"/>
          <w:color w:val="auto"/>
          <w:sz w:val="24"/>
        </w:rPr>
      </w:pPr>
      <w:r>
        <w:rPr>
          <w:rFonts w:ascii="宋体" w:hAnsi="宋体"/>
          <w:color w:val="auto"/>
          <w:sz w:val="24"/>
        </w:rPr>
        <w:t>7.3本工程采用电子答疑，招标人对招标文件的所作澄清、答疑、修改均以</w:t>
      </w:r>
      <w:r>
        <w:rPr>
          <w:rFonts w:hint="eastAsia" w:ascii="宋体" w:hAnsi="宋体"/>
          <w:color w:val="auto"/>
          <w:kern w:val="0"/>
          <w:sz w:val="24"/>
        </w:rPr>
        <w:t>“</w:t>
      </w:r>
      <w:r>
        <w:rPr>
          <w:rFonts w:hint="eastAsia" w:ascii="宋体" w:hAnsi="宋体"/>
          <w:color w:val="auto"/>
          <w:kern w:val="0"/>
          <w:sz w:val="24"/>
          <w:lang w:eastAsia="zh-CN"/>
        </w:rPr>
        <w:t>南通汽运实业集团有限公司 (https://www.ntqyjt.com.cn/)或南通农副产品物流有限公司 （http://www.ntnfcp.com/）</w:t>
      </w:r>
      <w:r>
        <w:rPr>
          <w:rFonts w:hint="eastAsia" w:ascii="宋体" w:hAnsi="宋体"/>
          <w:color w:val="auto"/>
          <w:kern w:val="0"/>
          <w:sz w:val="24"/>
        </w:rPr>
        <w:t>”</w:t>
      </w:r>
      <w:r>
        <w:rPr>
          <w:rFonts w:hint="eastAsia" w:ascii="宋体" w:hAnsi="宋体"/>
          <w:color w:val="auto"/>
          <w:sz w:val="24"/>
        </w:rPr>
        <w:t>发布</w:t>
      </w:r>
      <w:r>
        <w:rPr>
          <w:rFonts w:ascii="宋体" w:hAnsi="宋体"/>
          <w:color w:val="auto"/>
          <w:sz w:val="24"/>
        </w:rPr>
        <w:t>的内容为准。招标文件的答疑内容前后期相互矛盾时，以</w:t>
      </w:r>
      <w:r>
        <w:rPr>
          <w:rFonts w:hint="eastAsia" w:ascii="宋体" w:hAnsi="宋体"/>
          <w:color w:val="auto"/>
          <w:sz w:val="24"/>
        </w:rPr>
        <w:t>公布</w:t>
      </w:r>
      <w:r>
        <w:rPr>
          <w:rFonts w:ascii="宋体" w:hAnsi="宋体"/>
          <w:color w:val="auto"/>
          <w:sz w:val="24"/>
        </w:rPr>
        <w:t>时间在后的文件为准。投标人应在投标截止时间前随时查看</w:t>
      </w:r>
      <w:r>
        <w:rPr>
          <w:rFonts w:hint="eastAsia" w:ascii="宋体" w:hAnsi="宋体"/>
          <w:color w:val="auto"/>
          <w:kern w:val="0"/>
          <w:sz w:val="24"/>
        </w:rPr>
        <w:t>“</w:t>
      </w:r>
      <w:r>
        <w:rPr>
          <w:rFonts w:hint="eastAsia" w:ascii="宋体" w:hAnsi="宋体"/>
          <w:color w:val="auto"/>
          <w:kern w:val="0"/>
          <w:sz w:val="24"/>
          <w:lang w:eastAsia="zh-CN"/>
        </w:rPr>
        <w:t>南通汽运实业集团有限公司 (https://www.ntqyjt.com.cn/)或南通农副产品物流有限公司 （http://www.ntnfcp.com/）</w:t>
      </w:r>
      <w:r>
        <w:rPr>
          <w:rFonts w:hint="eastAsia" w:ascii="宋体" w:hAnsi="宋体"/>
          <w:color w:val="auto"/>
          <w:kern w:val="0"/>
          <w:sz w:val="24"/>
        </w:rPr>
        <w:t>”</w:t>
      </w:r>
      <w:r>
        <w:rPr>
          <w:rFonts w:ascii="宋体" w:hAnsi="宋体"/>
          <w:color w:val="auto"/>
          <w:sz w:val="24"/>
        </w:rPr>
        <w:t>中有关该工程招标文件的答疑内容。投标人因自身原因未能及时掌握上述网上</w:t>
      </w:r>
      <w:r>
        <w:rPr>
          <w:rFonts w:hint="eastAsia" w:ascii="宋体" w:hAnsi="宋体"/>
          <w:color w:val="auto"/>
          <w:sz w:val="24"/>
        </w:rPr>
        <w:t>发布</w:t>
      </w:r>
      <w:r>
        <w:rPr>
          <w:rFonts w:ascii="宋体" w:hAnsi="宋体"/>
          <w:color w:val="auto"/>
          <w:sz w:val="24"/>
        </w:rPr>
        <w:t>信息，由此造成投标损失自负。</w:t>
      </w:r>
    </w:p>
    <w:p w14:paraId="6BE98B72">
      <w:pPr>
        <w:pStyle w:val="3"/>
        <w:spacing w:line="440" w:lineRule="exact"/>
        <w:jc w:val="center"/>
        <w:rPr>
          <w:rFonts w:ascii="宋体" w:hAnsi="宋体" w:eastAsia="宋体"/>
          <w:color w:val="auto"/>
          <w:sz w:val="24"/>
          <w:szCs w:val="24"/>
        </w:rPr>
      </w:pPr>
      <w:r>
        <w:rPr>
          <w:rFonts w:ascii="宋体" w:hAnsi="宋体" w:eastAsia="宋体"/>
          <w:color w:val="auto"/>
          <w:sz w:val="24"/>
          <w:szCs w:val="24"/>
        </w:rPr>
        <w:t>（三）投标文件</w:t>
      </w:r>
    </w:p>
    <w:p w14:paraId="130712C1">
      <w:pPr>
        <w:spacing w:line="500" w:lineRule="exact"/>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rPr>
        <w:t>8</w:t>
      </w:r>
      <w:r>
        <w:rPr>
          <w:rFonts w:asciiTheme="minorEastAsia" w:hAnsiTheme="minorEastAsia" w:eastAsiaTheme="minorEastAsia"/>
          <w:color w:val="auto"/>
          <w:sz w:val="24"/>
        </w:rPr>
        <w:t>、</w:t>
      </w:r>
      <w:r>
        <w:rPr>
          <w:rFonts w:hint="eastAsia" w:cs="宋体" w:asciiTheme="minorEastAsia" w:hAnsiTheme="minorEastAsia" w:eastAsiaTheme="minorEastAsia"/>
          <w:color w:val="auto"/>
          <w:sz w:val="24"/>
        </w:rPr>
        <w:t>投标人应认真检查招标文件的内容是否齐全，如有遗漏应于</w:t>
      </w:r>
      <w:r>
        <w:rPr>
          <w:rFonts w:hint="eastAsia" w:asciiTheme="minorEastAsia" w:hAnsiTheme="minorEastAsia" w:eastAsiaTheme="minorEastAsia"/>
          <w:color w:val="auto"/>
          <w:sz w:val="24"/>
          <w:u w:val="single"/>
        </w:rPr>
        <w:t>202</w:t>
      </w:r>
      <w:r>
        <w:rPr>
          <w:rFonts w:hint="eastAsia" w:asciiTheme="minorEastAsia" w:hAnsiTheme="minorEastAsia" w:eastAsiaTheme="minorEastAsia"/>
          <w:color w:val="auto"/>
          <w:sz w:val="24"/>
          <w:u w:val="single"/>
          <w:lang w:val="en-US" w:eastAsia="zh-CN"/>
        </w:rPr>
        <w:t>6</w:t>
      </w:r>
      <w:r>
        <w:rPr>
          <w:rFonts w:hint="eastAsia" w:asciiTheme="minorEastAsia" w:hAnsiTheme="minorEastAsia" w:eastAsiaTheme="minorEastAsia"/>
          <w:color w:val="auto"/>
          <w:sz w:val="24"/>
          <w:u w:val="single"/>
        </w:rPr>
        <w:t>年</w:t>
      </w:r>
      <w:r>
        <w:rPr>
          <w:rFonts w:hint="eastAsia" w:asciiTheme="minorEastAsia" w:hAnsiTheme="minorEastAsia" w:eastAsiaTheme="minorEastAsia"/>
          <w:color w:val="auto"/>
          <w:sz w:val="24"/>
          <w:u w:val="single"/>
          <w:lang w:val="en-US" w:eastAsia="zh-CN"/>
        </w:rPr>
        <w:t>10</w:t>
      </w:r>
      <w:r>
        <w:rPr>
          <w:rFonts w:hint="eastAsia" w:asciiTheme="minorEastAsia" w:hAnsiTheme="minorEastAsia" w:eastAsiaTheme="minorEastAsia"/>
          <w:color w:val="auto"/>
          <w:sz w:val="24"/>
          <w:u w:val="single"/>
        </w:rPr>
        <w:t>月</w:t>
      </w:r>
      <w:r>
        <w:rPr>
          <w:rFonts w:hint="eastAsia" w:asciiTheme="minorEastAsia" w:hAnsiTheme="minorEastAsia" w:eastAsiaTheme="minorEastAsia"/>
          <w:color w:val="auto"/>
          <w:sz w:val="24"/>
          <w:u w:val="single"/>
          <w:lang w:val="en-US" w:eastAsia="zh-CN"/>
        </w:rPr>
        <w:t>15</w:t>
      </w:r>
      <w:r>
        <w:rPr>
          <w:rFonts w:hint="eastAsia" w:asciiTheme="minorEastAsia" w:hAnsiTheme="minorEastAsia" w:eastAsiaTheme="minorEastAsia"/>
          <w:color w:val="auto"/>
          <w:sz w:val="24"/>
          <w:u w:val="single"/>
        </w:rPr>
        <w:t>日</w:t>
      </w:r>
      <w:r>
        <w:rPr>
          <w:rFonts w:hint="eastAsia" w:cs="宋体" w:asciiTheme="minorEastAsia" w:hAnsiTheme="minorEastAsia" w:eastAsiaTheme="minorEastAsia"/>
          <w:color w:val="auto"/>
          <w:sz w:val="24"/>
          <w:u w:val="single"/>
        </w:rPr>
        <w:t>17：00</w:t>
      </w:r>
      <w:r>
        <w:rPr>
          <w:rFonts w:hint="eastAsia" w:asciiTheme="minorEastAsia" w:hAnsiTheme="minorEastAsia" w:eastAsiaTheme="minorEastAsia"/>
          <w:color w:val="auto"/>
          <w:sz w:val="24"/>
          <w:u w:val="single"/>
        </w:rPr>
        <w:t>时</w:t>
      </w:r>
      <w:r>
        <w:rPr>
          <w:rFonts w:hint="eastAsia" w:asciiTheme="minorEastAsia" w:hAnsiTheme="minorEastAsia" w:eastAsiaTheme="minorEastAsia"/>
          <w:color w:val="auto"/>
          <w:sz w:val="24"/>
        </w:rPr>
        <w:t>前</w:t>
      </w:r>
      <w:r>
        <w:rPr>
          <w:rFonts w:hint="eastAsia" w:cs="宋体" w:asciiTheme="minorEastAsia" w:hAnsiTheme="minorEastAsia" w:eastAsiaTheme="minorEastAsia"/>
          <w:color w:val="auto"/>
          <w:sz w:val="24"/>
        </w:rPr>
        <w:t>向招标人索取，否则责任自负。同时应阅读招标文件的所有内容，未按招标文件要求编制的投标文件将被拒绝。</w:t>
      </w:r>
    </w:p>
    <w:p w14:paraId="3745148C">
      <w:pPr>
        <w:spacing w:line="500" w:lineRule="exact"/>
        <w:ind w:firstLine="472" w:firstLineChars="196"/>
        <w:rPr>
          <w:rFonts w:asciiTheme="minorEastAsia" w:hAnsiTheme="minorEastAsia" w:eastAsiaTheme="minorEastAsia"/>
          <w:b/>
          <w:color w:val="auto"/>
          <w:sz w:val="24"/>
        </w:rPr>
      </w:pPr>
      <w:r>
        <w:rPr>
          <w:rFonts w:hint="eastAsia" w:asciiTheme="minorEastAsia" w:hAnsiTheme="minorEastAsia" w:eastAsiaTheme="minorEastAsia"/>
          <w:b/>
          <w:color w:val="auto"/>
          <w:sz w:val="24"/>
        </w:rPr>
        <w:t>9、投标文件应包括下列</w:t>
      </w:r>
      <w:r>
        <w:rPr>
          <w:rFonts w:hint="eastAsia" w:asciiTheme="minorEastAsia" w:hAnsiTheme="minorEastAsia" w:eastAsiaTheme="minorEastAsia"/>
          <w:b/>
          <w:color w:val="auto"/>
          <w:sz w:val="24"/>
          <w:u w:val="single"/>
        </w:rPr>
        <w:t>9.1、9.2</w:t>
      </w:r>
      <w:r>
        <w:rPr>
          <w:rFonts w:hint="eastAsia" w:asciiTheme="minorEastAsia" w:hAnsiTheme="minorEastAsia" w:eastAsiaTheme="minorEastAsia"/>
          <w:b/>
          <w:color w:val="auto"/>
          <w:sz w:val="24"/>
        </w:rPr>
        <w:t>条内容</w:t>
      </w:r>
    </w:p>
    <w:p w14:paraId="1E37A778">
      <w:pPr>
        <w:spacing w:line="500" w:lineRule="exact"/>
        <w:ind w:firstLine="482" w:firstLineChars="200"/>
        <w:rPr>
          <w:rFonts w:cs="宋体" w:asciiTheme="minorEastAsia" w:hAnsiTheme="minorEastAsia" w:eastAsiaTheme="minorEastAsia"/>
          <w:b/>
          <w:bCs/>
          <w:color w:val="auto"/>
          <w:sz w:val="24"/>
        </w:rPr>
      </w:pPr>
      <w:r>
        <w:rPr>
          <w:rFonts w:hint="eastAsia" w:cs="宋体" w:asciiTheme="minorEastAsia" w:hAnsiTheme="minorEastAsia" w:eastAsiaTheme="minorEastAsia"/>
          <w:b/>
          <w:bCs/>
          <w:color w:val="auto"/>
          <w:sz w:val="24"/>
        </w:rPr>
        <w:t>9.1资格审查资料包：</w:t>
      </w:r>
    </w:p>
    <w:p w14:paraId="0BEB10B5">
      <w:pPr>
        <w:spacing w:line="500" w:lineRule="exact"/>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rPr>
        <w:t>（1）法定代表人身份证明书</w:t>
      </w:r>
      <w:r>
        <w:rPr>
          <w:rFonts w:hint="eastAsia" w:cs="宋体" w:asciiTheme="minorEastAsia" w:hAnsiTheme="minorEastAsia" w:eastAsiaTheme="minorEastAsia"/>
          <w:color w:val="auto"/>
          <w:sz w:val="24"/>
        </w:rPr>
        <w:t>（格式见本招标文件第六章）</w:t>
      </w:r>
      <w:r>
        <w:rPr>
          <w:rFonts w:hint="eastAsia" w:asciiTheme="minorEastAsia" w:hAnsiTheme="minorEastAsia" w:eastAsiaTheme="minorEastAsia"/>
          <w:color w:val="auto"/>
          <w:sz w:val="24"/>
        </w:rPr>
        <w:t>；</w:t>
      </w:r>
    </w:p>
    <w:p w14:paraId="5F66DEC2">
      <w:pPr>
        <w:spacing w:line="500" w:lineRule="exact"/>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rPr>
        <w:t>（2）授权委托书(如有授权)</w:t>
      </w:r>
      <w:r>
        <w:rPr>
          <w:rFonts w:hint="eastAsia" w:cs="宋体" w:asciiTheme="minorEastAsia" w:hAnsiTheme="minorEastAsia" w:eastAsiaTheme="minorEastAsia"/>
          <w:color w:val="auto"/>
          <w:sz w:val="24"/>
        </w:rPr>
        <w:t>（格式见本招标文件第六章）</w:t>
      </w:r>
      <w:r>
        <w:rPr>
          <w:rFonts w:hint="eastAsia" w:asciiTheme="minorEastAsia" w:hAnsiTheme="minorEastAsia" w:eastAsiaTheme="minorEastAsia"/>
          <w:color w:val="auto"/>
          <w:sz w:val="24"/>
        </w:rPr>
        <w:t>；</w:t>
      </w:r>
    </w:p>
    <w:p w14:paraId="00BADB1C">
      <w:pPr>
        <w:spacing w:line="500" w:lineRule="exact"/>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（3）有效的法人营业执照（副本）；</w:t>
      </w:r>
    </w:p>
    <w:p w14:paraId="6C06CB83">
      <w:pPr>
        <w:spacing w:line="500" w:lineRule="exact"/>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（4）有效的企业资质证书（副本）；</w:t>
      </w:r>
    </w:p>
    <w:p w14:paraId="737326BA">
      <w:pPr>
        <w:spacing w:line="500" w:lineRule="exact"/>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（5）有效的企业安全生产许可证（副本）；</w:t>
      </w:r>
    </w:p>
    <w:p w14:paraId="4E4AEDCD">
      <w:pPr>
        <w:spacing w:line="500" w:lineRule="exact"/>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（6）有效的拟派项目负责人注册证书及安全考核合格证书（B证）；</w:t>
      </w:r>
    </w:p>
    <w:p w14:paraId="6E250CBD">
      <w:pPr>
        <w:spacing w:line="500" w:lineRule="exact"/>
        <w:ind w:firstLine="480" w:firstLineChars="200"/>
        <w:rPr>
          <w:rFonts w:cs="宋体" w:asciiTheme="minorEastAsia" w:hAnsiTheme="minorEastAsia" w:eastAsiaTheme="minorEastAsia"/>
          <w:color w:val="auto"/>
          <w:sz w:val="24"/>
        </w:rPr>
      </w:pPr>
      <w:r>
        <w:rPr>
          <w:rFonts w:hint="eastAsia" w:cs="宋体" w:asciiTheme="minorEastAsia" w:hAnsiTheme="minorEastAsia" w:eastAsiaTheme="minorEastAsia"/>
          <w:color w:val="auto"/>
          <w:sz w:val="24"/>
        </w:rPr>
        <w:t>（7）拟派项目负责人与投标企业签订的有效劳动合同；</w:t>
      </w:r>
    </w:p>
    <w:p w14:paraId="215E3008">
      <w:pPr>
        <w:spacing w:line="500" w:lineRule="exact"/>
        <w:ind w:firstLine="480" w:firstLineChars="200"/>
        <w:rPr>
          <w:rFonts w:hint="eastAsia" w:cs="宋体" w:asciiTheme="minorEastAsia" w:hAnsiTheme="minorEastAsia" w:eastAsiaTheme="minorEastAsia"/>
          <w:color w:val="auto"/>
          <w:sz w:val="24"/>
        </w:rPr>
      </w:pPr>
      <w:r>
        <w:rPr>
          <w:rFonts w:hint="eastAsia" w:cs="宋体" w:asciiTheme="minorEastAsia" w:hAnsiTheme="minorEastAsia" w:eastAsiaTheme="minorEastAsia"/>
          <w:color w:val="auto"/>
          <w:sz w:val="24"/>
        </w:rPr>
        <w:t>（8）业绩证明材料；</w:t>
      </w:r>
    </w:p>
    <w:p w14:paraId="46D70B68">
      <w:pPr>
        <w:spacing w:line="500" w:lineRule="exact"/>
        <w:ind w:firstLine="480" w:firstLineChars="200"/>
        <w:rPr>
          <w:rFonts w:hint="eastAsia" w:cs="宋体" w:asciiTheme="minorEastAsia" w:hAnsiTheme="minorEastAsia" w:eastAsiaTheme="minorEastAsia"/>
          <w:color w:val="auto"/>
          <w:sz w:val="24"/>
        </w:rPr>
      </w:pPr>
      <w:r>
        <w:rPr>
          <w:rFonts w:hint="eastAsia" w:cs="宋体" w:asciiTheme="minorEastAsia" w:hAnsiTheme="minorEastAsia" w:eastAsiaTheme="minorEastAsia"/>
          <w:color w:val="auto"/>
          <w:sz w:val="24"/>
          <w:lang w:eastAsia="zh-CN"/>
        </w:rPr>
        <w:t>（</w:t>
      </w:r>
      <w:r>
        <w:rPr>
          <w:rFonts w:hint="eastAsia" w:cs="宋体" w:asciiTheme="minorEastAsia" w:hAnsiTheme="minorEastAsia" w:eastAsiaTheme="minorEastAsia"/>
          <w:color w:val="auto"/>
          <w:sz w:val="24"/>
          <w:lang w:val="en-US" w:eastAsia="zh-CN"/>
        </w:rPr>
        <w:t>9</w:t>
      </w:r>
      <w:r>
        <w:rPr>
          <w:rFonts w:hint="eastAsia" w:cs="宋体" w:asciiTheme="minorEastAsia" w:hAnsiTheme="minorEastAsia" w:eastAsiaTheme="minorEastAsia"/>
          <w:color w:val="auto"/>
          <w:sz w:val="24"/>
          <w:lang w:eastAsia="zh-CN"/>
        </w:rPr>
        <w:t>）</w:t>
      </w:r>
      <w:r>
        <w:rPr>
          <w:rFonts w:hint="eastAsia" w:cs="宋体" w:asciiTheme="minorEastAsia" w:hAnsiTheme="minorEastAsia" w:eastAsiaTheme="minorEastAsia"/>
          <w:color w:val="auto"/>
          <w:sz w:val="24"/>
        </w:rPr>
        <w:t>服务承诺函（格式见本招标文件第六章）。</w:t>
      </w:r>
    </w:p>
    <w:p w14:paraId="0622E31B">
      <w:pPr>
        <w:pStyle w:val="56"/>
        <w:ind w:firstLine="482" w:firstLineChars="200"/>
        <w:rPr>
          <w:rFonts w:cs="宋体" w:asciiTheme="minorEastAsia" w:hAnsiTheme="minorEastAsia" w:eastAsiaTheme="minorEastAsia"/>
          <w:b/>
          <w:bCs/>
          <w:color w:val="auto"/>
        </w:rPr>
      </w:pPr>
      <w:r>
        <w:rPr>
          <w:rFonts w:hint="eastAsia" w:cs="宋体" w:asciiTheme="minorEastAsia" w:hAnsiTheme="minorEastAsia" w:eastAsiaTheme="minorEastAsia"/>
          <w:b/>
          <w:bCs/>
          <w:color w:val="auto"/>
        </w:rPr>
        <w:t>未尽之处具体详见第二章“评标办法”中的“资格审查标准表”。 提供的资格审查材料及审查标准，前后矛盾的以《资格审查标准表》为准。</w:t>
      </w:r>
    </w:p>
    <w:p w14:paraId="7EE27194">
      <w:pPr>
        <w:spacing w:line="500" w:lineRule="exact"/>
        <w:ind w:firstLine="472" w:firstLineChars="196"/>
        <w:rPr>
          <w:rFonts w:asciiTheme="minorEastAsia" w:hAnsiTheme="minorEastAsia" w:eastAsiaTheme="minorEastAsia"/>
          <w:b/>
          <w:bCs/>
          <w:color w:val="auto"/>
          <w:sz w:val="24"/>
        </w:rPr>
      </w:pPr>
      <w:r>
        <w:rPr>
          <w:rFonts w:hint="eastAsia" w:asciiTheme="minorEastAsia" w:hAnsiTheme="minorEastAsia" w:eastAsiaTheme="minorEastAsia"/>
          <w:b/>
          <w:color w:val="auto"/>
          <w:sz w:val="24"/>
        </w:rPr>
        <w:t>9.2</w:t>
      </w:r>
      <w:r>
        <w:rPr>
          <w:rFonts w:hint="eastAsia" w:asciiTheme="minorEastAsia" w:hAnsiTheme="minorEastAsia" w:eastAsiaTheme="minorEastAsia"/>
          <w:b/>
          <w:bCs/>
          <w:color w:val="auto"/>
          <w:sz w:val="24"/>
        </w:rPr>
        <w:t>商务标</w:t>
      </w:r>
    </w:p>
    <w:p w14:paraId="0376E0E5">
      <w:pPr>
        <w:spacing w:line="500" w:lineRule="exact"/>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rPr>
        <w:t>（</w:t>
      </w:r>
      <w:r>
        <w:rPr>
          <w:rFonts w:asciiTheme="minorEastAsia" w:hAnsiTheme="minorEastAsia" w:eastAsiaTheme="minorEastAsia"/>
          <w:color w:val="auto"/>
          <w:sz w:val="24"/>
        </w:rPr>
        <w:t>1</w:t>
      </w:r>
      <w:r>
        <w:rPr>
          <w:rFonts w:hint="eastAsia" w:asciiTheme="minorEastAsia" w:hAnsiTheme="minorEastAsia" w:eastAsiaTheme="minorEastAsia"/>
          <w:color w:val="auto"/>
          <w:sz w:val="24"/>
        </w:rPr>
        <w:t>）投标函</w:t>
      </w:r>
      <w:r>
        <w:rPr>
          <w:rFonts w:hint="eastAsia" w:cs="宋体" w:asciiTheme="minorEastAsia" w:hAnsiTheme="minorEastAsia" w:eastAsiaTheme="minorEastAsia"/>
          <w:color w:val="auto"/>
          <w:sz w:val="24"/>
        </w:rPr>
        <w:t>（格式见本招标文件第六章）</w:t>
      </w:r>
      <w:r>
        <w:rPr>
          <w:rFonts w:hint="eastAsia" w:asciiTheme="minorEastAsia" w:hAnsiTheme="minorEastAsia" w:eastAsiaTheme="minorEastAsia"/>
          <w:color w:val="auto"/>
          <w:sz w:val="24"/>
        </w:rPr>
        <w:t>；</w:t>
      </w:r>
    </w:p>
    <w:p w14:paraId="701E4308">
      <w:pPr>
        <w:spacing w:line="500" w:lineRule="exact"/>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rPr>
        <w:t>（</w:t>
      </w:r>
      <w:r>
        <w:rPr>
          <w:rFonts w:asciiTheme="minorEastAsia" w:hAnsiTheme="minorEastAsia" w:eastAsiaTheme="minorEastAsia"/>
          <w:color w:val="auto"/>
          <w:sz w:val="24"/>
        </w:rPr>
        <w:t>2</w:t>
      </w:r>
      <w:r>
        <w:rPr>
          <w:rFonts w:hint="eastAsia" w:asciiTheme="minorEastAsia" w:hAnsiTheme="minorEastAsia" w:eastAsiaTheme="minorEastAsia"/>
          <w:color w:val="auto"/>
          <w:sz w:val="24"/>
        </w:rPr>
        <w:t>）</w:t>
      </w:r>
      <w:r>
        <w:rPr>
          <w:rFonts w:hint="eastAsia" w:cs="宋体"/>
          <w:color w:val="auto"/>
          <w:sz w:val="24"/>
        </w:rPr>
        <w:t>已标价的工程量清单：投标总价、投标报价填报说明、工程项目汇总表、单项工程汇总表、单位工程汇总表、分部分项工程项目清单计价表、分部分项工程项目清单综合单价分析表、措施项目清单计价表、措施项目清单构成明细分析表、其他项目清单计价表、暂列金额明细表、材料（工程设备）暂估单价及调整表、专业工程暂估价明细表、计日工表、总承包服务费计价表、增值税计价表、发包人提供材料一览表、承包人提供可调价主要材料表等</w:t>
      </w:r>
      <w:r>
        <w:rPr>
          <w:rFonts w:hint="eastAsia" w:cs="宋体" w:asciiTheme="minorEastAsia" w:hAnsiTheme="minorEastAsia" w:eastAsiaTheme="minorEastAsia"/>
          <w:color w:val="auto"/>
          <w:sz w:val="24"/>
        </w:rPr>
        <w:t>；</w:t>
      </w:r>
    </w:p>
    <w:p w14:paraId="6B50C454">
      <w:pPr>
        <w:spacing w:line="440" w:lineRule="exact"/>
        <w:ind w:left="-315" w:leftChars="-150" w:firstLine="792" w:firstLineChars="33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w:t>
      </w:r>
      <w:r>
        <w:rPr>
          <w:rFonts w:asciiTheme="minorEastAsia" w:hAnsiTheme="minorEastAsia" w:eastAsiaTheme="minorEastAsia"/>
          <w:color w:val="auto"/>
          <w:sz w:val="24"/>
        </w:rPr>
        <w:t>3</w:t>
      </w:r>
      <w:r>
        <w:rPr>
          <w:rFonts w:hint="eastAsia" w:asciiTheme="minorEastAsia" w:hAnsiTheme="minorEastAsia" w:eastAsiaTheme="minorEastAsia"/>
          <w:color w:val="auto"/>
          <w:sz w:val="24"/>
        </w:rPr>
        <w:t>）计划投入的主要施工机械设备表、主要施工管理人员表（格式见本招标文件第六章）。</w:t>
      </w:r>
    </w:p>
    <w:p w14:paraId="5395C1C4">
      <w:pPr>
        <w:spacing w:line="440" w:lineRule="exact"/>
        <w:ind w:left="-315" w:leftChars="-150" w:firstLine="792" w:firstLineChars="330"/>
        <w:rPr>
          <w:rFonts w:hint="eastAsia" w:asciiTheme="minorEastAsia" w:hAnsiTheme="minorEastAsia" w:eastAsiaTheme="minorEastAsia"/>
          <w:color w:val="auto"/>
          <w:sz w:val="24"/>
        </w:rPr>
      </w:pPr>
      <w:r>
        <w:rPr>
          <w:rFonts w:hint="eastAsia" w:cs="宋体"/>
          <w:color w:val="auto"/>
          <w:sz w:val="24"/>
          <w:highlight w:val="darkGray"/>
        </w:rPr>
        <w:t>特别提醒：上述表中“措施项目清单构成明细分析表”将体现不可竞争费费率，各投标人如果遗漏该表导致无法评标，一切责任由投标人自负。</w:t>
      </w:r>
    </w:p>
    <w:p w14:paraId="6B919874">
      <w:pPr>
        <w:pStyle w:val="56"/>
        <w:ind w:firstLine="480" w:firstLineChars="200"/>
        <w:rPr>
          <w:rFonts w:cs="宋体" w:asciiTheme="minorEastAsia" w:hAnsiTheme="minorEastAsia" w:eastAsiaTheme="minorEastAsia"/>
          <w:color w:val="auto"/>
        </w:rPr>
      </w:pPr>
      <w:r>
        <w:rPr>
          <w:rFonts w:hint="eastAsia" w:cs="宋体" w:asciiTheme="minorEastAsia" w:hAnsiTheme="minorEastAsia" w:eastAsiaTheme="minorEastAsia"/>
          <w:color w:val="auto"/>
        </w:rPr>
        <w:t>以上资料需按序装订成册，密封在一个封袋中，密封袋上均应加盖投标人公章和法定代表人印章或法定代表人签字。</w:t>
      </w:r>
    </w:p>
    <w:p w14:paraId="05218371">
      <w:pPr>
        <w:widowControl/>
        <w:spacing w:line="500" w:lineRule="exact"/>
        <w:ind w:firstLine="480" w:firstLineChars="200"/>
        <w:jc w:val="left"/>
        <w:rPr>
          <w:rFonts w:cs="宋体" w:asciiTheme="minorEastAsia" w:hAnsiTheme="minorEastAsia" w:eastAsiaTheme="minorEastAsia"/>
          <w:color w:val="auto"/>
          <w:sz w:val="24"/>
        </w:rPr>
      </w:pPr>
      <w:r>
        <w:rPr>
          <w:rFonts w:hint="eastAsia" w:asciiTheme="minorEastAsia" w:hAnsiTheme="minorEastAsia" w:eastAsiaTheme="minorEastAsia"/>
          <w:color w:val="auto"/>
          <w:sz w:val="24"/>
        </w:rPr>
        <w:t>10</w:t>
      </w:r>
      <w:r>
        <w:rPr>
          <w:rFonts w:asciiTheme="minorEastAsia" w:hAnsiTheme="minorEastAsia" w:eastAsiaTheme="minorEastAsia"/>
          <w:color w:val="auto"/>
          <w:sz w:val="24"/>
        </w:rPr>
        <w:t>、</w:t>
      </w:r>
      <w:r>
        <w:rPr>
          <w:rFonts w:hint="eastAsia" w:asciiTheme="minorEastAsia" w:hAnsiTheme="minorEastAsia" w:eastAsiaTheme="minorEastAsia"/>
          <w:color w:val="auto"/>
          <w:spacing w:val="-4"/>
          <w:sz w:val="24"/>
        </w:rPr>
        <w:t>招标文件提供的文件格式(第六章)投标人必须使用。但表式可以按同样格式进行扩展。</w:t>
      </w:r>
    </w:p>
    <w:p w14:paraId="13AD31A5">
      <w:pPr>
        <w:spacing w:line="500" w:lineRule="exact"/>
        <w:ind w:firstLine="464" w:firstLineChars="200"/>
        <w:rPr>
          <w:rFonts w:asciiTheme="minorEastAsia" w:hAnsiTheme="minorEastAsia" w:eastAsiaTheme="minorEastAsia"/>
          <w:color w:val="auto"/>
          <w:spacing w:val="-4"/>
          <w:sz w:val="24"/>
        </w:rPr>
      </w:pPr>
      <w:r>
        <w:rPr>
          <w:rFonts w:hint="eastAsia" w:asciiTheme="minorEastAsia" w:hAnsiTheme="minorEastAsia" w:eastAsiaTheme="minorEastAsia"/>
          <w:color w:val="auto"/>
          <w:spacing w:val="-4"/>
          <w:sz w:val="24"/>
        </w:rPr>
        <w:t>11、</w:t>
      </w:r>
      <w:r>
        <w:rPr>
          <w:rFonts w:hint="eastAsia" w:cs="宋体" w:asciiTheme="minorEastAsia" w:hAnsiTheme="minorEastAsia" w:eastAsiaTheme="minorEastAsia"/>
          <w:color w:val="auto"/>
          <w:sz w:val="24"/>
        </w:rPr>
        <w:t>投标文件应当对招标文件有关工期、投标有效期、质量要求、技术标准和要求、招标范围等实质性内容作出响应。</w:t>
      </w:r>
    </w:p>
    <w:p w14:paraId="1DE7E55D">
      <w:pPr>
        <w:spacing w:line="500" w:lineRule="exact"/>
        <w:ind w:firstLine="480"/>
        <w:rPr>
          <w:rFonts w:asciiTheme="minorEastAsia" w:hAnsiTheme="minorEastAsia" w:eastAsiaTheme="minorEastAsia"/>
          <w:color w:val="auto"/>
          <w:sz w:val="24"/>
        </w:rPr>
      </w:pPr>
      <w:r>
        <w:rPr>
          <w:rFonts w:asciiTheme="minorEastAsia" w:hAnsiTheme="minorEastAsia" w:eastAsiaTheme="minorEastAsia"/>
          <w:color w:val="auto"/>
          <w:sz w:val="24"/>
        </w:rPr>
        <w:t>1</w:t>
      </w:r>
      <w:r>
        <w:rPr>
          <w:rFonts w:hint="eastAsia" w:asciiTheme="minorEastAsia" w:hAnsiTheme="minorEastAsia" w:eastAsiaTheme="minorEastAsia"/>
          <w:color w:val="auto"/>
          <w:sz w:val="24"/>
        </w:rPr>
        <w:t>2</w:t>
      </w:r>
      <w:r>
        <w:rPr>
          <w:rFonts w:asciiTheme="minorEastAsia" w:hAnsiTheme="minorEastAsia" w:eastAsiaTheme="minorEastAsia"/>
          <w:color w:val="auto"/>
          <w:sz w:val="24"/>
        </w:rPr>
        <w:t>、全套投标文件应无修改和行间插字。如有修改，须在修改处加盖投标人及法定代表人（或授权委托人）印章。</w:t>
      </w:r>
    </w:p>
    <w:p w14:paraId="2CCEF656">
      <w:pPr>
        <w:spacing w:line="500" w:lineRule="exact"/>
        <w:ind w:firstLine="480"/>
        <w:rPr>
          <w:rFonts w:asciiTheme="minorEastAsia" w:hAnsiTheme="minorEastAsia" w:eastAsiaTheme="minorEastAsia"/>
          <w:color w:val="auto"/>
          <w:sz w:val="24"/>
        </w:rPr>
      </w:pPr>
      <w:r>
        <w:rPr>
          <w:rFonts w:asciiTheme="minorEastAsia" w:hAnsiTheme="minorEastAsia" w:eastAsiaTheme="minorEastAsia"/>
          <w:color w:val="auto"/>
          <w:sz w:val="24"/>
        </w:rPr>
        <w:t>1</w:t>
      </w:r>
      <w:r>
        <w:rPr>
          <w:rFonts w:hint="eastAsia" w:asciiTheme="minorEastAsia" w:hAnsiTheme="minorEastAsia" w:eastAsiaTheme="minorEastAsia"/>
          <w:color w:val="auto"/>
          <w:sz w:val="24"/>
        </w:rPr>
        <w:t>3</w:t>
      </w:r>
      <w:r>
        <w:rPr>
          <w:rFonts w:asciiTheme="minorEastAsia" w:hAnsiTheme="minorEastAsia" w:eastAsiaTheme="minorEastAsia"/>
          <w:color w:val="auto"/>
          <w:sz w:val="24"/>
        </w:rPr>
        <w:t>、投标有效期</w:t>
      </w:r>
    </w:p>
    <w:p w14:paraId="1BB321A7">
      <w:pPr>
        <w:spacing w:line="500" w:lineRule="exact"/>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rPr>
        <w:t>投标文件自投标截止时间起至前附表投标须知规定的时间内有效。</w:t>
      </w:r>
    </w:p>
    <w:p w14:paraId="0E6F5CE7">
      <w:pPr>
        <w:spacing w:line="500" w:lineRule="exact"/>
        <w:ind w:firstLine="480" w:firstLineChars="200"/>
        <w:rPr>
          <w:rFonts w:asciiTheme="minorEastAsia" w:hAnsiTheme="minorEastAsia" w:eastAsiaTheme="minorEastAsia"/>
          <w:color w:val="auto"/>
          <w:spacing w:val="-4"/>
          <w:sz w:val="24"/>
        </w:rPr>
      </w:pPr>
      <w:r>
        <w:rPr>
          <w:rFonts w:asciiTheme="minorEastAsia" w:hAnsiTheme="minorEastAsia" w:eastAsiaTheme="minorEastAsia"/>
          <w:color w:val="auto"/>
          <w:sz w:val="24"/>
        </w:rPr>
        <w:t>1</w:t>
      </w:r>
      <w:r>
        <w:rPr>
          <w:rFonts w:hint="eastAsia" w:asciiTheme="minorEastAsia" w:hAnsiTheme="minorEastAsia" w:eastAsiaTheme="minorEastAsia"/>
          <w:color w:val="auto"/>
          <w:sz w:val="24"/>
        </w:rPr>
        <w:t>4</w:t>
      </w:r>
      <w:r>
        <w:rPr>
          <w:rFonts w:asciiTheme="minorEastAsia" w:hAnsiTheme="minorEastAsia" w:eastAsiaTheme="minorEastAsia"/>
          <w:color w:val="auto"/>
          <w:sz w:val="24"/>
        </w:rPr>
        <w:t>、投标保证金</w:t>
      </w:r>
    </w:p>
    <w:p w14:paraId="0505A561">
      <w:pPr>
        <w:spacing w:line="500" w:lineRule="exact"/>
        <w:ind w:firstLine="477" w:firstLineChars="198"/>
        <w:rPr>
          <w:rFonts w:asciiTheme="minorEastAsia" w:hAnsiTheme="minorEastAsia" w:eastAsiaTheme="minorEastAsia"/>
          <w:b/>
          <w:color w:val="auto"/>
          <w:sz w:val="24"/>
        </w:rPr>
      </w:pPr>
      <w:r>
        <w:rPr>
          <w:rFonts w:asciiTheme="minorEastAsia" w:hAnsiTheme="minorEastAsia" w:eastAsiaTheme="minorEastAsia"/>
          <w:b/>
          <w:color w:val="auto"/>
          <w:sz w:val="24"/>
        </w:rPr>
        <w:t>1</w:t>
      </w:r>
      <w:r>
        <w:rPr>
          <w:rFonts w:hint="eastAsia" w:asciiTheme="minorEastAsia" w:hAnsiTheme="minorEastAsia" w:eastAsiaTheme="minorEastAsia"/>
          <w:b/>
          <w:color w:val="auto"/>
          <w:sz w:val="24"/>
        </w:rPr>
        <w:t>4</w:t>
      </w:r>
      <w:r>
        <w:rPr>
          <w:rFonts w:asciiTheme="minorEastAsia" w:hAnsiTheme="minorEastAsia" w:eastAsiaTheme="minorEastAsia"/>
          <w:b/>
          <w:color w:val="auto"/>
          <w:sz w:val="24"/>
        </w:rPr>
        <w:t>.1</w:t>
      </w:r>
      <w:r>
        <w:rPr>
          <w:rFonts w:hint="eastAsia" w:asciiTheme="minorEastAsia" w:hAnsiTheme="minorEastAsia" w:eastAsiaTheme="minorEastAsia"/>
          <w:b/>
          <w:color w:val="auto"/>
          <w:sz w:val="24"/>
        </w:rPr>
        <w:t>投标人必须按照前附表规定递交投标保证金，中标人的投标保证金在投标有效期内有效。</w:t>
      </w:r>
    </w:p>
    <w:p w14:paraId="2E522163">
      <w:pPr>
        <w:spacing w:line="500" w:lineRule="exact"/>
        <w:ind w:firstLine="480"/>
        <w:rPr>
          <w:rFonts w:asciiTheme="minorEastAsia" w:hAnsiTheme="minorEastAsia" w:eastAsiaTheme="minorEastAsia"/>
          <w:b/>
          <w:color w:val="auto"/>
          <w:sz w:val="24"/>
        </w:rPr>
      </w:pPr>
      <w:r>
        <w:rPr>
          <w:rFonts w:asciiTheme="minorEastAsia" w:hAnsiTheme="minorEastAsia" w:eastAsiaTheme="minorEastAsia"/>
          <w:b/>
          <w:color w:val="auto"/>
          <w:sz w:val="24"/>
        </w:rPr>
        <w:t>1</w:t>
      </w:r>
      <w:r>
        <w:rPr>
          <w:rFonts w:hint="eastAsia" w:asciiTheme="minorEastAsia" w:hAnsiTheme="minorEastAsia" w:eastAsiaTheme="minorEastAsia"/>
          <w:b/>
          <w:color w:val="auto"/>
          <w:sz w:val="24"/>
        </w:rPr>
        <w:t>4</w:t>
      </w:r>
      <w:r>
        <w:rPr>
          <w:rFonts w:asciiTheme="minorEastAsia" w:hAnsiTheme="minorEastAsia" w:eastAsiaTheme="minorEastAsia"/>
          <w:b/>
          <w:color w:val="auto"/>
          <w:sz w:val="24"/>
        </w:rPr>
        <w:t>.2</w:t>
      </w:r>
      <w:r>
        <w:rPr>
          <w:rFonts w:hint="eastAsia" w:asciiTheme="minorEastAsia" w:hAnsiTheme="minorEastAsia" w:eastAsiaTheme="minorEastAsia"/>
          <w:b/>
          <w:color w:val="auto"/>
          <w:sz w:val="24"/>
        </w:rPr>
        <w:t>未中标人的投标保证金在定标后予以退还。</w:t>
      </w:r>
    </w:p>
    <w:p w14:paraId="3B5CD01C">
      <w:pPr>
        <w:spacing w:line="500" w:lineRule="exact"/>
        <w:rPr>
          <w:rFonts w:asciiTheme="minorEastAsia" w:hAnsiTheme="minorEastAsia" w:eastAsiaTheme="minorEastAsia"/>
          <w:b/>
          <w:color w:val="auto"/>
          <w:spacing w:val="-4"/>
          <w:sz w:val="24"/>
        </w:rPr>
      </w:pPr>
      <w:r>
        <w:rPr>
          <w:rFonts w:asciiTheme="minorEastAsia" w:hAnsiTheme="minorEastAsia" w:eastAsiaTheme="minorEastAsia"/>
          <w:b/>
          <w:color w:val="auto"/>
          <w:spacing w:val="-4"/>
          <w:sz w:val="24"/>
        </w:rPr>
        <w:t xml:space="preserve">    1</w:t>
      </w:r>
      <w:r>
        <w:rPr>
          <w:rFonts w:hint="eastAsia" w:asciiTheme="minorEastAsia" w:hAnsiTheme="minorEastAsia" w:eastAsiaTheme="minorEastAsia"/>
          <w:b/>
          <w:color w:val="auto"/>
          <w:spacing w:val="-4"/>
          <w:sz w:val="24"/>
        </w:rPr>
        <w:t>4</w:t>
      </w:r>
      <w:r>
        <w:rPr>
          <w:rFonts w:asciiTheme="minorEastAsia" w:hAnsiTheme="minorEastAsia" w:eastAsiaTheme="minorEastAsia"/>
          <w:b/>
          <w:color w:val="auto"/>
          <w:spacing w:val="-4"/>
          <w:sz w:val="24"/>
        </w:rPr>
        <w:t>.3</w:t>
      </w:r>
      <w:r>
        <w:rPr>
          <w:rFonts w:hint="eastAsia" w:asciiTheme="minorEastAsia" w:hAnsiTheme="minorEastAsia" w:eastAsiaTheme="minorEastAsia"/>
          <w:b/>
          <w:color w:val="auto"/>
          <w:sz w:val="24"/>
        </w:rPr>
        <w:t>中标人的投标保证金在递交履约保证金并签订施工合同后予以退还</w:t>
      </w:r>
      <w:r>
        <w:rPr>
          <w:rFonts w:asciiTheme="minorEastAsia" w:hAnsiTheme="minorEastAsia" w:eastAsiaTheme="minorEastAsia"/>
          <w:b/>
          <w:color w:val="auto"/>
          <w:spacing w:val="-4"/>
          <w:sz w:val="24"/>
        </w:rPr>
        <w:t>。</w:t>
      </w:r>
    </w:p>
    <w:p w14:paraId="6696E8E5">
      <w:pPr>
        <w:spacing w:line="500" w:lineRule="exact"/>
        <w:rPr>
          <w:rFonts w:asciiTheme="minorEastAsia" w:hAnsiTheme="minorEastAsia" w:eastAsiaTheme="minorEastAsia"/>
          <w:color w:val="auto"/>
          <w:sz w:val="24"/>
        </w:rPr>
      </w:pPr>
      <w:r>
        <w:rPr>
          <w:rFonts w:asciiTheme="minorEastAsia" w:hAnsiTheme="minorEastAsia" w:eastAsiaTheme="minorEastAsia"/>
          <w:color w:val="auto"/>
          <w:spacing w:val="-4"/>
          <w:sz w:val="24"/>
        </w:rPr>
        <w:t xml:space="preserve">    1</w:t>
      </w:r>
      <w:r>
        <w:rPr>
          <w:rFonts w:hint="eastAsia" w:asciiTheme="minorEastAsia" w:hAnsiTheme="minorEastAsia" w:eastAsiaTheme="minorEastAsia"/>
          <w:color w:val="auto"/>
          <w:spacing w:val="-4"/>
          <w:sz w:val="24"/>
        </w:rPr>
        <w:t>4</w:t>
      </w:r>
      <w:r>
        <w:rPr>
          <w:rFonts w:asciiTheme="minorEastAsia" w:hAnsiTheme="minorEastAsia" w:eastAsiaTheme="minorEastAsia"/>
          <w:color w:val="auto"/>
          <w:spacing w:val="-4"/>
          <w:sz w:val="24"/>
        </w:rPr>
        <w:t>.4投标人在投标有效期内撤回投标文件，投标人的投标保证金不予</w:t>
      </w:r>
      <w:r>
        <w:rPr>
          <w:rFonts w:asciiTheme="minorEastAsia" w:hAnsiTheme="minorEastAsia" w:eastAsiaTheme="minorEastAsia"/>
          <w:color w:val="auto"/>
          <w:sz w:val="24"/>
        </w:rPr>
        <w:t>退还。中标通知书发出后，除不可抗力情况外，中标人出现下列情形之一的，招标人必须取消其中标资格，并不予退还其投标保证金：</w:t>
      </w:r>
    </w:p>
    <w:p w14:paraId="63ACECED">
      <w:pPr>
        <w:widowControl/>
        <w:spacing w:line="500" w:lineRule="exact"/>
        <w:ind w:firstLine="480" w:firstLineChars="200"/>
        <w:jc w:val="left"/>
        <w:rPr>
          <w:rFonts w:asciiTheme="minorEastAsia" w:hAnsiTheme="minorEastAsia" w:eastAsiaTheme="minorEastAsia"/>
          <w:color w:val="auto"/>
          <w:sz w:val="24"/>
        </w:rPr>
      </w:pPr>
      <w:r>
        <w:rPr>
          <w:rFonts w:asciiTheme="minorEastAsia" w:hAnsiTheme="minorEastAsia" w:eastAsiaTheme="minorEastAsia"/>
          <w:color w:val="auto"/>
          <w:sz w:val="24"/>
        </w:rPr>
        <w:t>1</w:t>
      </w:r>
      <w:r>
        <w:rPr>
          <w:rFonts w:hint="eastAsia" w:asciiTheme="minorEastAsia" w:hAnsiTheme="minorEastAsia" w:eastAsiaTheme="minorEastAsia"/>
          <w:color w:val="auto"/>
          <w:sz w:val="24"/>
        </w:rPr>
        <w:t>4</w:t>
      </w:r>
      <w:r>
        <w:rPr>
          <w:rFonts w:asciiTheme="minorEastAsia" w:hAnsiTheme="minorEastAsia" w:eastAsiaTheme="minorEastAsia"/>
          <w:color w:val="auto"/>
          <w:sz w:val="24"/>
        </w:rPr>
        <w:t>.4.1放弃中标项目的；</w:t>
      </w:r>
    </w:p>
    <w:p w14:paraId="759A992C">
      <w:pPr>
        <w:widowControl/>
        <w:spacing w:line="500" w:lineRule="exact"/>
        <w:ind w:firstLine="480" w:firstLineChars="200"/>
        <w:jc w:val="left"/>
        <w:rPr>
          <w:rFonts w:asciiTheme="minorEastAsia" w:hAnsiTheme="minorEastAsia" w:eastAsiaTheme="minorEastAsia"/>
          <w:color w:val="auto"/>
          <w:sz w:val="24"/>
        </w:rPr>
      </w:pPr>
      <w:r>
        <w:rPr>
          <w:rFonts w:asciiTheme="minorEastAsia" w:hAnsiTheme="minorEastAsia" w:eastAsiaTheme="minorEastAsia"/>
          <w:color w:val="auto"/>
          <w:sz w:val="24"/>
        </w:rPr>
        <w:t>1</w:t>
      </w:r>
      <w:r>
        <w:rPr>
          <w:rFonts w:hint="eastAsia" w:asciiTheme="minorEastAsia" w:hAnsiTheme="minorEastAsia" w:eastAsiaTheme="minorEastAsia"/>
          <w:color w:val="auto"/>
          <w:sz w:val="24"/>
        </w:rPr>
        <w:t>4</w:t>
      </w:r>
      <w:r>
        <w:rPr>
          <w:rFonts w:asciiTheme="minorEastAsia" w:hAnsiTheme="minorEastAsia" w:eastAsiaTheme="minorEastAsia"/>
          <w:color w:val="auto"/>
          <w:sz w:val="24"/>
        </w:rPr>
        <w:t>.4.2拒不按照招标文件的要求提交履约保证金的；</w:t>
      </w:r>
    </w:p>
    <w:p w14:paraId="3F284583">
      <w:pPr>
        <w:widowControl/>
        <w:spacing w:line="500" w:lineRule="exact"/>
        <w:ind w:firstLine="480" w:firstLineChars="200"/>
        <w:jc w:val="left"/>
        <w:rPr>
          <w:rFonts w:asciiTheme="minorEastAsia" w:hAnsiTheme="minorEastAsia" w:eastAsiaTheme="minorEastAsia"/>
          <w:color w:val="auto"/>
          <w:sz w:val="24"/>
        </w:rPr>
      </w:pPr>
      <w:r>
        <w:rPr>
          <w:rFonts w:asciiTheme="minorEastAsia" w:hAnsiTheme="minorEastAsia" w:eastAsiaTheme="minorEastAsia"/>
          <w:color w:val="auto"/>
          <w:sz w:val="24"/>
        </w:rPr>
        <w:t>1</w:t>
      </w:r>
      <w:r>
        <w:rPr>
          <w:rFonts w:hint="eastAsia" w:asciiTheme="minorEastAsia" w:hAnsiTheme="minorEastAsia" w:eastAsiaTheme="minorEastAsia"/>
          <w:color w:val="auto"/>
          <w:sz w:val="24"/>
        </w:rPr>
        <w:t>4</w:t>
      </w:r>
      <w:r>
        <w:rPr>
          <w:rFonts w:asciiTheme="minorEastAsia" w:hAnsiTheme="minorEastAsia" w:eastAsiaTheme="minorEastAsia"/>
          <w:color w:val="auto"/>
          <w:sz w:val="24"/>
        </w:rPr>
        <w:t>.4.</w:t>
      </w:r>
      <w:r>
        <w:rPr>
          <w:rFonts w:hint="eastAsia" w:asciiTheme="minorEastAsia" w:hAnsiTheme="minorEastAsia" w:eastAsiaTheme="minorEastAsia"/>
          <w:color w:val="auto"/>
          <w:sz w:val="24"/>
        </w:rPr>
        <w:t>3</w:t>
      </w:r>
      <w:r>
        <w:rPr>
          <w:rFonts w:asciiTheme="minorEastAsia" w:hAnsiTheme="minorEastAsia" w:eastAsiaTheme="minorEastAsia"/>
          <w:color w:val="auto"/>
          <w:sz w:val="24"/>
        </w:rPr>
        <w:t>不与招标人签订合同的，或者在签订合同时向招标人提出附加条件或者更改合同实质性内容的。</w:t>
      </w:r>
    </w:p>
    <w:p w14:paraId="77FF9457">
      <w:pPr>
        <w:spacing w:line="440" w:lineRule="exact"/>
        <w:ind w:firstLine="482" w:firstLineChars="200"/>
        <w:jc w:val="center"/>
        <w:rPr>
          <w:rFonts w:ascii="宋体" w:hAnsi="宋体"/>
          <w:b/>
          <w:color w:val="auto"/>
          <w:sz w:val="24"/>
        </w:rPr>
      </w:pPr>
      <w:r>
        <w:rPr>
          <w:rFonts w:ascii="宋体" w:hAnsi="宋体"/>
          <w:b/>
          <w:color w:val="auto"/>
          <w:sz w:val="24"/>
        </w:rPr>
        <w:t>（四）投标报价</w:t>
      </w:r>
      <w:bookmarkEnd w:id="23"/>
    </w:p>
    <w:p w14:paraId="487029A9">
      <w:pPr>
        <w:spacing w:line="440" w:lineRule="exact"/>
        <w:ind w:firstLine="482" w:firstLineChars="200"/>
        <w:rPr>
          <w:rFonts w:ascii="宋体" w:hAnsi="宋体"/>
          <w:color w:val="auto"/>
          <w:sz w:val="24"/>
        </w:rPr>
      </w:pPr>
      <w:r>
        <w:rPr>
          <w:rFonts w:ascii="宋体" w:hAnsi="宋体"/>
          <w:b/>
          <w:bCs w:val="0"/>
          <w:color w:val="auto"/>
          <w:kern w:val="0"/>
          <w:sz w:val="24"/>
        </w:rPr>
        <w:t>15、</w:t>
      </w:r>
      <w:r>
        <w:rPr>
          <w:rFonts w:ascii="宋体" w:hAnsi="宋体"/>
          <w:color w:val="auto"/>
          <w:spacing w:val="-2"/>
          <w:sz w:val="24"/>
        </w:rPr>
        <w:t>投标报价应包括招标文件所确定的招标范围内相应工程量清单及相关资料及规范、规定等全部内容，以及为完成上述内容所必须的附属工程、临时工程、材料、劳务、机械、成品保护、垂直运输、脚手架搭设使用、与各工种间的协调配合工作、清洗、养护、验收、创优、安全措施、技术措施，作为一名有经验的投标人所应考虑到的各种因素、风险及所需的全部费用</w:t>
      </w:r>
      <w:r>
        <w:rPr>
          <w:rFonts w:ascii="宋体" w:hAnsi="宋体"/>
          <w:color w:val="auto"/>
          <w:sz w:val="24"/>
        </w:rPr>
        <w:t>。</w:t>
      </w:r>
    </w:p>
    <w:p w14:paraId="194AE135">
      <w:pPr>
        <w:spacing w:line="440" w:lineRule="exact"/>
        <w:ind w:firstLine="480" w:firstLineChars="200"/>
        <w:rPr>
          <w:rFonts w:ascii="宋体" w:hAnsi="宋体"/>
          <w:color w:val="auto"/>
          <w:sz w:val="24"/>
        </w:rPr>
      </w:pPr>
      <w:r>
        <w:rPr>
          <w:rFonts w:ascii="宋体" w:hAnsi="宋体"/>
          <w:color w:val="auto"/>
          <w:sz w:val="24"/>
        </w:rPr>
        <w:t>招标文件后附的工程量清单标明的工程量清单表是投标人投标报价的共同基础。招标人提供的工程量清单，投标人应结合</w:t>
      </w:r>
      <w:r>
        <w:rPr>
          <w:rFonts w:hint="eastAsia" w:ascii="宋体" w:hAnsi="宋体"/>
          <w:color w:val="auto"/>
          <w:sz w:val="24"/>
        </w:rPr>
        <w:t>施工现场、</w:t>
      </w:r>
      <w:r>
        <w:rPr>
          <w:rFonts w:ascii="宋体" w:hAnsi="宋体"/>
          <w:color w:val="auto"/>
          <w:sz w:val="24"/>
        </w:rPr>
        <w:t>投标须知、投标须知前附表、合同条款、技术标准和要求与图纸一起阅读理解。</w:t>
      </w:r>
    </w:p>
    <w:p w14:paraId="701E7A36">
      <w:pPr>
        <w:spacing w:line="420" w:lineRule="exact"/>
        <w:ind w:firstLine="482" w:firstLineChars="200"/>
        <w:rPr>
          <w:rFonts w:ascii="宋体" w:hAnsi="宋体" w:cs="宋体"/>
          <w:b/>
          <w:color w:val="auto"/>
          <w:kern w:val="0"/>
          <w:sz w:val="24"/>
        </w:rPr>
      </w:pPr>
      <w:r>
        <w:rPr>
          <w:rFonts w:hint="eastAsia" w:ascii="宋体" w:hAnsi="宋体" w:cs="宋体"/>
          <w:b/>
          <w:color w:val="auto"/>
          <w:kern w:val="0"/>
          <w:sz w:val="24"/>
        </w:rPr>
        <w:t>投标文件包含所需的设备费、材料费、运输保险费、吊装费、安装费、调试费、垃圾清运费、利润、税费、等及合同包含的所有风险、责任等及乙方认为需要的其他费用等，且该价格不因市场价格因素及政策性调整的变化而调整。投标人自行咨询、踏勘现场，充分了解现场情况，根据现场情况考虑相应的运输、安装等工作实际，并将相关费用考虑在综合单价报价中，任何忽视、猜测、或误解现场情况而导致的成本增加或工期延长等，招标人一律不予认可。作为一名有经验的投标人所应考虑到的各种因素、风险及所需的全部费用。</w:t>
      </w:r>
    </w:p>
    <w:p w14:paraId="1F1AD2A3">
      <w:pPr>
        <w:spacing w:line="440" w:lineRule="exact"/>
        <w:ind w:firstLine="482" w:firstLineChars="200"/>
        <w:rPr>
          <w:rFonts w:ascii="宋体" w:hAnsi="宋体"/>
          <w:b/>
          <w:color w:val="auto"/>
          <w:kern w:val="0"/>
          <w:sz w:val="24"/>
        </w:rPr>
      </w:pPr>
      <w:r>
        <w:rPr>
          <w:rFonts w:ascii="宋体" w:hAnsi="宋体"/>
          <w:b/>
          <w:color w:val="auto"/>
          <w:kern w:val="0"/>
          <w:sz w:val="24"/>
        </w:rPr>
        <w:t>16、投标报价方式：</w:t>
      </w:r>
    </w:p>
    <w:p w14:paraId="5F38DC57">
      <w:pPr>
        <w:spacing w:line="440" w:lineRule="exact"/>
        <w:ind w:firstLine="480" w:firstLineChars="200"/>
        <w:rPr>
          <w:rFonts w:hint="eastAsia" w:ascii="宋体" w:hAnsi="宋体"/>
          <w:color w:val="auto"/>
          <w:sz w:val="24"/>
        </w:rPr>
      </w:pPr>
      <w:r>
        <w:rPr>
          <w:rFonts w:hint="eastAsia" w:ascii="宋体" w:hAnsi="宋体"/>
          <w:color w:val="auto"/>
          <w:sz w:val="24"/>
        </w:rPr>
        <w:t>16.1本工程项目采用</w:t>
      </w:r>
      <w:r>
        <w:rPr>
          <w:rFonts w:hint="eastAsia" w:ascii="宋体" w:hAnsi="宋体"/>
          <w:b/>
          <w:color w:val="auto"/>
          <w:sz w:val="24"/>
          <w:u w:val="single"/>
        </w:rPr>
        <w:t>固定综合单价报价</w:t>
      </w:r>
      <w:r>
        <w:rPr>
          <w:rFonts w:hint="eastAsia" w:ascii="宋体" w:hAnsi="宋体"/>
          <w:color w:val="auto"/>
          <w:sz w:val="24"/>
        </w:rPr>
        <w:t>方式。投标人报价时应充分考虑施工期间各类建材的市场风险。工程量的风险由发包人承担，价格风险在约定风险范围内的，由承包人承担，风险范围以外的按合同约定承担。竣工结算的工程量按发承包双方在合同中约定应予计量且实际完成的工程量确定，完成发包人要求的合同以外的零星工作或发生非承包人责任事件的工程量按现场签证确定。</w:t>
      </w:r>
    </w:p>
    <w:p w14:paraId="47C9952B">
      <w:pPr>
        <w:spacing w:line="480" w:lineRule="exact"/>
        <w:ind w:firstLine="480" w:firstLineChars="200"/>
        <w:rPr>
          <w:rFonts w:ascii="宋体" w:hAnsi="宋体" w:cs="宋体"/>
          <w:color w:val="auto"/>
          <w:sz w:val="24"/>
        </w:rPr>
      </w:pPr>
      <w:r>
        <w:rPr>
          <w:rFonts w:hint="eastAsia" w:ascii="宋体" w:hAnsi="宋体" w:cs="宋体"/>
          <w:color w:val="auto"/>
          <w:sz w:val="24"/>
        </w:rPr>
        <w:t>1</w:t>
      </w:r>
      <w:r>
        <w:rPr>
          <w:rFonts w:hint="eastAsia" w:ascii="宋体" w:hAnsi="宋体" w:cs="宋体"/>
          <w:color w:val="auto"/>
          <w:sz w:val="24"/>
          <w:lang w:val="en-US" w:eastAsia="zh-CN"/>
        </w:rPr>
        <w:t>6</w:t>
      </w:r>
      <w:r>
        <w:rPr>
          <w:rFonts w:hint="eastAsia" w:ascii="宋体" w:hAnsi="宋体" w:cs="宋体"/>
          <w:color w:val="auto"/>
          <w:sz w:val="24"/>
        </w:rPr>
        <w:t>.2除下列条款中风险范围的内容可调整外，其余不可调整。</w:t>
      </w:r>
    </w:p>
    <w:p w14:paraId="551FB7C6">
      <w:pPr>
        <w:adjustRightInd w:val="0"/>
        <w:snapToGrid w:val="0"/>
        <w:spacing w:line="480" w:lineRule="exact"/>
        <w:ind w:firstLine="480" w:firstLineChars="200"/>
        <w:rPr>
          <w:rFonts w:ascii="宋体" w:hAnsi="宋体" w:cs="宋体"/>
          <w:color w:val="auto"/>
          <w:sz w:val="24"/>
        </w:rPr>
      </w:pPr>
      <w:r>
        <w:rPr>
          <w:rFonts w:hint="eastAsia" w:ascii="宋体" w:hAnsi="宋体" w:cs="宋体"/>
          <w:color w:val="auto"/>
          <w:sz w:val="24"/>
        </w:rPr>
        <w:t>（1）工程量；</w:t>
      </w:r>
    </w:p>
    <w:p w14:paraId="37743FD3">
      <w:pPr>
        <w:adjustRightInd w:val="0"/>
        <w:snapToGrid w:val="0"/>
        <w:spacing w:line="480" w:lineRule="exact"/>
        <w:ind w:firstLine="480" w:firstLineChars="200"/>
        <w:rPr>
          <w:rFonts w:ascii="宋体" w:hAnsi="宋体" w:cs="宋体"/>
          <w:color w:val="auto"/>
          <w:sz w:val="24"/>
        </w:rPr>
      </w:pPr>
      <w:r>
        <w:rPr>
          <w:rFonts w:hint="eastAsia" w:ascii="宋体" w:hAnsi="宋体" w:cs="宋体"/>
          <w:color w:val="auto"/>
          <w:sz w:val="24"/>
        </w:rPr>
        <w:t>（2）设计变更引起的工程量变化或直接造成的费用增加；</w:t>
      </w:r>
    </w:p>
    <w:p w14:paraId="66C4EDD5">
      <w:pPr>
        <w:adjustRightInd w:val="0"/>
        <w:snapToGrid w:val="0"/>
        <w:spacing w:line="480" w:lineRule="exact"/>
        <w:ind w:firstLine="480" w:firstLineChars="200"/>
        <w:rPr>
          <w:rFonts w:ascii="宋体" w:hAnsi="宋体" w:cs="宋体"/>
          <w:color w:val="auto"/>
          <w:sz w:val="24"/>
        </w:rPr>
      </w:pPr>
      <w:r>
        <w:rPr>
          <w:rFonts w:hint="eastAsia" w:ascii="宋体" w:hAnsi="宋体" w:cs="宋体"/>
          <w:color w:val="auto"/>
          <w:sz w:val="24"/>
        </w:rPr>
        <w:t>（3）发包人要求的承包范围以外的附加工程量；</w:t>
      </w:r>
    </w:p>
    <w:p w14:paraId="68619388">
      <w:pPr>
        <w:adjustRightInd w:val="0"/>
        <w:snapToGrid w:val="0"/>
        <w:spacing w:line="480" w:lineRule="exact"/>
        <w:ind w:firstLine="480" w:firstLineChars="200"/>
        <w:rPr>
          <w:rFonts w:ascii="宋体" w:hAnsi="宋体" w:cs="宋体"/>
          <w:color w:val="auto"/>
          <w:sz w:val="24"/>
        </w:rPr>
      </w:pPr>
      <w:r>
        <w:rPr>
          <w:rFonts w:hint="eastAsia" w:ascii="宋体" w:hAnsi="宋体" w:cs="宋体"/>
          <w:color w:val="auto"/>
          <w:sz w:val="24"/>
        </w:rPr>
        <w:t>（4）暂列金额及暂估价；</w:t>
      </w:r>
    </w:p>
    <w:p w14:paraId="632C181D">
      <w:pPr>
        <w:widowControl/>
        <w:snapToGrid w:val="0"/>
        <w:spacing w:line="480" w:lineRule="exact"/>
        <w:ind w:firstLine="480" w:firstLineChars="200"/>
        <w:jc w:val="left"/>
        <w:rPr>
          <w:rFonts w:ascii="宋体" w:hAnsi="宋体" w:cs="宋体"/>
          <w:color w:val="auto"/>
          <w:sz w:val="24"/>
        </w:rPr>
      </w:pPr>
      <w:r>
        <w:rPr>
          <w:rFonts w:hint="eastAsia" w:ascii="宋体" w:hAnsi="宋体" w:cs="宋体"/>
          <w:color w:val="auto"/>
          <w:sz w:val="24"/>
        </w:rPr>
        <w:t>（5）发包人确认的其他费用。</w:t>
      </w:r>
    </w:p>
    <w:p w14:paraId="7FB635DD">
      <w:pPr>
        <w:widowControl/>
        <w:snapToGrid w:val="0"/>
        <w:spacing w:line="480" w:lineRule="exact"/>
        <w:ind w:firstLine="480" w:firstLineChars="200"/>
        <w:jc w:val="left"/>
        <w:rPr>
          <w:rFonts w:ascii="宋体" w:hAnsi="宋体" w:cs="宋体"/>
          <w:color w:val="auto"/>
          <w:sz w:val="24"/>
        </w:rPr>
      </w:pPr>
      <w:r>
        <w:rPr>
          <w:rFonts w:hint="eastAsia" w:ascii="宋体" w:hAnsi="宋体" w:cs="宋体"/>
          <w:color w:val="auto"/>
          <w:sz w:val="24"/>
        </w:rPr>
        <w:t>1</w:t>
      </w:r>
      <w:r>
        <w:rPr>
          <w:rFonts w:hint="eastAsia" w:ascii="宋体" w:hAnsi="宋体" w:cs="宋体"/>
          <w:color w:val="auto"/>
          <w:sz w:val="24"/>
          <w:lang w:val="en-US" w:eastAsia="zh-CN"/>
        </w:rPr>
        <w:t>6</w:t>
      </w:r>
      <w:r>
        <w:rPr>
          <w:rFonts w:hint="eastAsia" w:ascii="宋体" w:hAnsi="宋体" w:cs="宋体"/>
          <w:color w:val="auto"/>
          <w:sz w:val="24"/>
        </w:rPr>
        <w:t>.3工程价款调整：具体详见合同专用条款。</w:t>
      </w:r>
    </w:p>
    <w:p w14:paraId="7FAF0ED1">
      <w:pPr>
        <w:spacing w:line="440" w:lineRule="exact"/>
        <w:ind w:firstLine="482" w:firstLineChars="200"/>
        <w:rPr>
          <w:rFonts w:ascii="宋体" w:hAnsi="宋体"/>
          <w:color w:val="auto"/>
          <w:sz w:val="24"/>
        </w:rPr>
      </w:pPr>
      <w:r>
        <w:rPr>
          <w:rFonts w:ascii="宋体" w:hAnsi="宋体"/>
          <w:b/>
          <w:color w:val="auto"/>
          <w:kern w:val="0"/>
          <w:sz w:val="24"/>
        </w:rPr>
        <w:t>17、投标报价的计价方法</w:t>
      </w:r>
    </w:p>
    <w:p w14:paraId="4CA3A3A1">
      <w:pPr>
        <w:spacing w:line="440" w:lineRule="exact"/>
        <w:ind w:firstLine="480" w:firstLineChars="200"/>
        <w:rPr>
          <w:rFonts w:ascii="宋体" w:hAnsi="宋体"/>
          <w:color w:val="auto"/>
          <w:sz w:val="24"/>
        </w:rPr>
      </w:pPr>
      <w:r>
        <w:rPr>
          <w:rFonts w:hint="eastAsia" w:ascii="宋体" w:hAnsi="宋体"/>
          <w:color w:val="auto"/>
          <w:sz w:val="24"/>
        </w:rPr>
        <w:t>（1）《建设工程工程量清单计价标准》（GB50500-2024）和相关国家及行业工程量计算标准；</w:t>
      </w:r>
    </w:p>
    <w:p w14:paraId="32D1F725">
      <w:pPr>
        <w:spacing w:line="440" w:lineRule="exact"/>
        <w:ind w:firstLine="480" w:firstLineChars="200"/>
        <w:rPr>
          <w:rFonts w:ascii="宋体" w:hAnsi="宋体"/>
          <w:color w:val="auto"/>
          <w:sz w:val="24"/>
        </w:rPr>
      </w:pPr>
      <w:r>
        <w:rPr>
          <w:rFonts w:hint="eastAsia" w:ascii="宋体" w:hAnsi="宋体"/>
          <w:color w:val="auto"/>
          <w:sz w:val="24"/>
        </w:rPr>
        <w:t>（2）招标文件（包括招标工程量清单、合同条款、招标图纸、技术标准规范等）及其补遗、澄清或修改；</w:t>
      </w:r>
    </w:p>
    <w:p w14:paraId="0A7EFF9A">
      <w:pPr>
        <w:spacing w:line="440" w:lineRule="exact"/>
        <w:ind w:firstLine="480" w:firstLineChars="200"/>
        <w:rPr>
          <w:rFonts w:ascii="宋体" w:hAnsi="宋体"/>
          <w:color w:val="auto"/>
          <w:sz w:val="24"/>
        </w:rPr>
      </w:pPr>
      <w:r>
        <w:rPr>
          <w:rFonts w:hint="eastAsia" w:ascii="宋体" w:hAnsi="宋体"/>
          <w:color w:val="auto"/>
          <w:sz w:val="24"/>
        </w:rPr>
        <w:t>（3）《江苏省建筑与装饰工程消耗量》《江苏省建设工程费用参考》及《江苏建设工程施工机具台班费用参考表》；</w:t>
      </w:r>
    </w:p>
    <w:p w14:paraId="1616B537">
      <w:pPr>
        <w:spacing w:line="440" w:lineRule="exact"/>
        <w:ind w:firstLine="480" w:firstLineChars="200"/>
        <w:rPr>
          <w:rFonts w:ascii="宋体" w:hAnsi="宋体"/>
          <w:color w:val="auto"/>
          <w:sz w:val="24"/>
        </w:rPr>
      </w:pPr>
      <w:r>
        <w:rPr>
          <w:rFonts w:hint="eastAsia" w:ascii="宋体" w:hAnsi="宋体"/>
          <w:color w:val="auto"/>
          <w:sz w:val="24"/>
        </w:rPr>
        <w:t>（4）国家及省级、行业建设主管部门颁发的工程计量与计价相关规定，以及根据工程需要补充的工程量计算规则；</w:t>
      </w:r>
    </w:p>
    <w:p w14:paraId="637F5618">
      <w:pPr>
        <w:spacing w:line="440" w:lineRule="exact"/>
        <w:ind w:firstLine="480" w:firstLineChars="200"/>
        <w:rPr>
          <w:rFonts w:ascii="宋体" w:hAnsi="宋体"/>
          <w:color w:val="auto"/>
          <w:sz w:val="24"/>
        </w:rPr>
      </w:pPr>
      <w:r>
        <w:rPr>
          <w:rFonts w:hint="eastAsia" w:ascii="宋体" w:hAnsi="宋体"/>
          <w:color w:val="auto"/>
          <w:sz w:val="24"/>
        </w:rPr>
        <w:t>（5）与招标工程相关的技术标准规范；</w:t>
      </w:r>
    </w:p>
    <w:p w14:paraId="2C029E3E">
      <w:pPr>
        <w:spacing w:line="440" w:lineRule="exact"/>
        <w:ind w:firstLine="480" w:firstLineChars="200"/>
        <w:rPr>
          <w:rFonts w:ascii="宋体" w:hAnsi="宋体"/>
          <w:color w:val="auto"/>
          <w:sz w:val="24"/>
        </w:rPr>
      </w:pPr>
      <w:r>
        <w:rPr>
          <w:rFonts w:hint="eastAsia" w:ascii="宋体" w:hAnsi="宋体"/>
          <w:color w:val="auto"/>
          <w:sz w:val="24"/>
        </w:rPr>
        <w:t>（6）工程特点及交付标准、地勘水文资料、现场情况；</w:t>
      </w:r>
    </w:p>
    <w:p w14:paraId="34336896">
      <w:pPr>
        <w:spacing w:line="440" w:lineRule="exact"/>
        <w:ind w:firstLine="480" w:firstLineChars="200"/>
        <w:rPr>
          <w:rFonts w:ascii="宋体" w:hAnsi="宋体"/>
          <w:color w:val="auto"/>
          <w:sz w:val="24"/>
        </w:rPr>
      </w:pPr>
      <w:r>
        <w:rPr>
          <w:rFonts w:hint="eastAsia" w:ascii="宋体" w:hAnsi="宋体"/>
          <w:color w:val="auto"/>
          <w:sz w:val="24"/>
        </w:rPr>
        <w:t>（7）合理施工工期及常规施工工艺、顺序；</w:t>
      </w:r>
    </w:p>
    <w:p w14:paraId="4EEDECD2">
      <w:pPr>
        <w:spacing w:line="440" w:lineRule="exact"/>
        <w:ind w:firstLine="480" w:firstLineChars="200"/>
        <w:rPr>
          <w:rFonts w:ascii="宋体" w:hAnsi="宋体"/>
          <w:color w:val="auto"/>
          <w:sz w:val="24"/>
        </w:rPr>
      </w:pPr>
      <w:r>
        <w:rPr>
          <w:rFonts w:hint="eastAsia" w:ascii="宋体" w:hAnsi="宋体"/>
          <w:color w:val="auto"/>
          <w:sz w:val="24"/>
        </w:rPr>
        <w:t>（8）工程价格信息及造价资讯、工程造价数据及指数；</w:t>
      </w:r>
    </w:p>
    <w:p w14:paraId="436BAA84">
      <w:pPr>
        <w:spacing w:line="440" w:lineRule="exact"/>
        <w:ind w:firstLine="480" w:firstLineChars="200"/>
        <w:rPr>
          <w:rFonts w:hint="eastAsia" w:ascii="宋体" w:hAnsi="宋体"/>
          <w:color w:val="auto"/>
          <w:sz w:val="24"/>
        </w:rPr>
      </w:pPr>
      <w:r>
        <w:rPr>
          <w:rFonts w:hint="eastAsia" w:ascii="宋体" w:hAnsi="宋体"/>
          <w:color w:val="auto"/>
          <w:sz w:val="24"/>
        </w:rPr>
        <w:t>（9）江苏省住房和城乡建设厅关于实施《建设工程工程量清单计价标准》（GB/T50500-2024）及9本工程量计算标准有关事宜的公告〔2025〕第12号。</w:t>
      </w:r>
    </w:p>
    <w:p w14:paraId="48A16727">
      <w:pPr>
        <w:spacing w:line="440" w:lineRule="exact"/>
        <w:ind w:firstLine="482" w:firstLineChars="200"/>
        <w:rPr>
          <w:rFonts w:hint="eastAsia" w:ascii="宋体" w:hAnsi="宋体" w:eastAsia="宋体"/>
          <w:b/>
          <w:color w:val="auto"/>
          <w:kern w:val="0"/>
          <w:sz w:val="24"/>
          <w:lang w:eastAsia="zh-CN"/>
        </w:rPr>
      </w:pPr>
      <w:r>
        <w:rPr>
          <w:rFonts w:ascii="宋体" w:hAnsi="宋体"/>
          <w:b/>
          <w:color w:val="auto"/>
          <w:kern w:val="0"/>
          <w:sz w:val="24"/>
        </w:rPr>
        <w:t>18</w:t>
      </w:r>
      <w:r>
        <w:rPr>
          <w:rFonts w:hint="eastAsia" w:ascii="宋体" w:hAnsi="宋体"/>
          <w:b/>
          <w:color w:val="auto"/>
          <w:kern w:val="0"/>
          <w:sz w:val="24"/>
        </w:rPr>
        <w:t>、</w:t>
      </w:r>
      <w:r>
        <w:rPr>
          <w:rFonts w:hint="eastAsia" w:ascii="宋体" w:hAnsi="宋体"/>
          <w:b/>
          <w:color w:val="auto"/>
          <w:kern w:val="0"/>
          <w:sz w:val="24"/>
          <w:lang w:eastAsia="zh-CN"/>
        </w:rPr>
        <w:t>最高投标限价</w:t>
      </w:r>
    </w:p>
    <w:p w14:paraId="62499B39">
      <w:pPr>
        <w:spacing w:line="440" w:lineRule="exact"/>
        <w:ind w:firstLine="480" w:firstLineChars="200"/>
        <w:rPr>
          <w:rFonts w:ascii="宋体" w:hAnsi="宋体"/>
          <w:color w:val="auto"/>
          <w:sz w:val="24"/>
        </w:rPr>
      </w:pPr>
      <w:r>
        <w:rPr>
          <w:rFonts w:ascii="宋体" w:hAnsi="宋体"/>
          <w:color w:val="auto"/>
          <w:sz w:val="24"/>
        </w:rPr>
        <w:t>18.1</w:t>
      </w:r>
      <w:r>
        <w:rPr>
          <w:rFonts w:hAnsi="宋体"/>
          <w:color w:val="auto"/>
          <w:sz w:val="24"/>
        </w:rPr>
        <w:t>本工程实行工程量清单招标，招标人委托编制</w:t>
      </w:r>
      <w:r>
        <w:rPr>
          <w:rFonts w:hint="eastAsia" w:hAnsi="宋体"/>
          <w:color w:val="auto"/>
          <w:sz w:val="24"/>
          <w:lang w:eastAsia="zh-CN"/>
        </w:rPr>
        <w:t>最高投标限价</w:t>
      </w:r>
      <w:r>
        <w:rPr>
          <w:rFonts w:hAnsi="宋体"/>
          <w:color w:val="auto"/>
          <w:sz w:val="24"/>
        </w:rPr>
        <w:t>。投标人的投标报价高于</w:t>
      </w:r>
      <w:r>
        <w:rPr>
          <w:rFonts w:hint="eastAsia" w:hAnsi="宋体"/>
          <w:color w:val="auto"/>
          <w:sz w:val="24"/>
          <w:lang w:eastAsia="zh-CN"/>
        </w:rPr>
        <w:t>最高投标限价</w:t>
      </w:r>
      <w:r>
        <w:rPr>
          <w:rFonts w:hAnsi="宋体"/>
          <w:color w:val="auto"/>
          <w:sz w:val="24"/>
        </w:rPr>
        <w:t>的，招标人将作废标处理</w:t>
      </w:r>
      <w:r>
        <w:rPr>
          <w:rFonts w:ascii="宋体" w:hAnsi="宋体"/>
          <w:color w:val="auto"/>
          <w:sz w:val="24"/>
        </w:rPr>
        <w:t>。</w:t>
      </w:r>
    </w:p>
    <w:p w14:paraId="7D6AF66B">
      <w:pPr>
        <w:spacing w:line="440" w:lineRule="exact"/>
        <w:ind w:firstLine="480" w:firstLineChars="200"/>
        <w:rPr>
          <w:rFonts w:ascii="宋体" w:hAnsi="宋体"/>
          <w:color w:val="auto"/>
          <w:sz w:val="24"/>
        </w:rPr>
      </w:pPr>
      <w:r>
        <w:rPr>
          <w:rFonts w:ascii="宋体" w:hAnsi="宋体"/>
          <w:color w:val="auto"/>
          <w:sz w:val="24"/>
        </w:rPr>
        <w:t>18.2</w:t>
      </w:r>
      <w:r>
        <w:rPr>
          <w:rFonts w:hint="eastAsia" w:ascii="宋体" w:hAnsi="宋体"/>
          <w:color w:val="auto"/>
          <w:sz w:val="24"/>
          <w:lang w:eastAsia="zh-CN"/>
        </w:rPr>
        <w:t>最高投标限价</w:t>
      </w:r>
      <w:r>
        <w:rPr>
          <w:rFonts w:ascii="宋体" w:hAnsi="宋体"/>
          <w:color w:val="auto"/>
          <w:sz w:val="24"/>
        </w:rPr>
        <w:t>编制依据</w:t>
      </w:r>
      <w:r>
        <w:rPr>
          <w:rFonts w:hint="eastAsia" w:ascii="宋体" w:hAnsi="宋体"/>
          <w:color w:val="auto"/>
          <w:sz w:val="24"/>
        </w:rPr>
        <w:t>：</w:t>
      </w:r>
    </w:p>
    <w:p w14:paraId="48BBC502">
      <w:pPr>
        <w:spacing w:line="440" w:lineRule="exact"/>
        <w:ind w:firstLine="480" w:firstLineChars="200"/>
        <w:rPr>
          <w:rFonts w:ascii="宋体" w:hAnsi="宋体"/>
          <w:bCs/>
          <w:color w:val="auto"/>
          <w:sz w:val="24"/>
        </w:rPr>
      </w:pPr>
      <w:r>
        <w:rPr>
          <w:rFonts w:ascii="宋体" w:hAnsi="宋体"/>
          <w:bCs/>
          <w:color w:val="auto"/>
          <w:sz w:val="24"/>
        </w:rPr>
        <w:t>18.2.1本工程施工图及其工程量清单。</w:t>
      </w:r>
    </w:p>
    <w:p w14:paraId="7381C3F3">
      <w:pPr>
        <w:spacing w:line="440" w:lineRule="exact"/>
        <w:ind w:firstLine="480" w:firstLineChars="200"/>
        <w:rPr>
          <w:rFonts w:ascii="宋体" w:hAnsi="宋体"/>
          <w:bCs/>
          <w:color w:val="auto"/>
          <w:sz w:val="24"/>
        </w:rPr>
      </w:pPr>
      <w:r>
        <w:rPr>
          <w:rFonts w:ascii="宋体" w:hAnsi="宋体"/>
          <w:bCs/>
          <w:color w:val="auto"/>
          <w:kern w:val="0"/>
          <w:sz w:val="24"/>
        </w:rPr>
        <w:t xml:space="preserve">18.2.2 </w:t>
      </w:r>
      <w:r>
        <w:rPr>
          <w:rFonts w:hint="eastAsia" w:ascii="宋体" w:hAnsi="宋体"/>
          <w:bCs/>
          <w:color w:val="auto"/>
          <w:sz w:val="24"/>
        </w:rPr>
        <w:t>《建设工程工程量清单计价标准》（GB/T50500-2024）及《房屋建筑与装饰工程工程量计算标准》（GB/T50854-2024）、《通用安装工程工程量计算标准》（GB/T50856-2024）工程量计算标准。省住房和城乡建设厅关于实施《建设工程工程量清单计价标准》（GB/T50500-2024）及9本工程量计算标准有关事宜的公告（2025）第12号；《江苏省建筑与装饰工程消耗量》《江苏省市政工程消耗量》《江苏省通用安装工程消耗量》《江苏省建设工程费用参考》及《江苏建设工程施工机具台班费用参考表》；国家及省级、行业建设主管部门颁发的工程计量与计价相关规定，以及根据工程需要补充的工程量计算规则。</w:t>
      </w:r>
    </w:p>
    <w:p w14:paraId="3C272D46">
      <w:pPr>
        <w:spacing w:line="440" w:lineRule="exact"/>
        <w:ind w:firstLine="480" w:firstLineChars="200"/>
        <w:rPr>
          <w:rFonts w:hint="eastAsia" w:ascii="宋体" w:hAnsi="宋体"/>
          <w:bCs/>
          <w:color w:val="auto"/>
          <w:sz w:val="24"/>
        </w:rPr>
      </w:pPr>
      <w:r>
        <w:rPr>
          <w:rFonts w:hint="eastAsia" w:ascii="宋体" w:hAnsi="宋体"/>
          <w:bCs/>
          <w:color w:val="auto"/>
          <w:sz w:val="24"/>
        </w:rPr>
        <w:t>18.2.3人工工资执行《省住房和城乡建设厅关于发布2026年上半年建设工程人工工资指导价的通知》（苏建函价〔2026〕27号），材料价格参照2026年6月南通市建设工程主要材料价格指数中的价格及市场价。若2026年6月南通市建设工程主要材料价格指数无价格的材料，则按市场价执行。本工程采用一般计税方法，具体按“省住房和城乡建设厅关于建筑业实施营改增后江苏省建设工程计价依据调整的通知”苏建价（2016）154号文相关要求执行、税率按省住房城乡建设厅关于建筑业增值税计价政策调整的通知（苏建函价〔2019〕178号）。</w:t>
      </w:r>
    </w:p>
    <w:p w14:paraId="4FA8BA34">
      <w:pPr>
        <w:spacing w:line="440" w:lineRule="exact"/>
        <w:ind w:firstLine="480" w:firstLineChars="200"/>
        <w:rPr>
          <w:rFonts w:ascii="宋体" w:hAnsi="宋体"/>
          <w:bCs/>
          <w:color w:val="auto"/>
          <w:sz w:val="24"/>
        </w:rPr>
      </w:pPr>
      <w:r>
        <w:rPr>
          <w:rFonts w:ascii="宋体" w:hAnsi="宋体"/>
          <w:bCs/>
          <w:color w:val="auto"/>
          <w:sz w:val="24"/>
        </w:rPr>
        <w:t>18.2.4本工程不可竞争费用项目及其费率见下表</w:t>
      </w:r>
      <w:r>
        <w:rPr>
          <w:rFonts w:hint="eastAsia" w:ascii="宋体" w:hAnsi="宋体"/>
          <w:bCs/>
          <w:color w:val="auto"/>
          <w:sz w:val="24"/>
        </w:rPr>
        <w:t>(%)</w:t>
      </w:r>
      <w:r>
        <w:rPr>
          <w:rFonts w:ascii="宋体" w:hAnsi="宋体"/>
          <w:bCs/>
          <w:color w:val="auto"/>
          <w:sz w:val="24"/>
        </w:rPr>
        <w:t xml:space="preserve">： </w:t>
      </w:r>
    </w:p>
    <w:tbl>
      <w:tblPr>
        <w:tblStyle w:val="47"/>
        <w:tblW w:w="7969" w:type="dxa"/>
        <w:jc w:val="center"/>
        <w:tblLayout w:type="autofit"/>
        <w:tblCellMar>
          <w:top w:w="0" w:type="dxa"/>
          <w:left w:w="108" w:type="dxa"/>
          <w:bottom w:w="0" w:type="dxa"/>
          <w:right w:w="108" w:type="dxa"/>
        </w:tblCellMar>
      </w:tblPr>
      <w:tblGrid>
        <w:gridCol w:w="2805"/>
        <w:gridCol w:w="5164"/>
      </w:tblGrid>
      <w:tr w14:paraId="2294C5F5">
        <w:tblPrEx>
          <w:tblCellMar>
            <w:top w:w="0" w:type="dxa"/>
            <w:left w:w="108" w:type="dxa"/>
            <w:bottom w:w="0" w:type="dxa"/>
            <w:right w:w="108" w:type="dxa"/>
          </w:tblCellMar>
        </w:tblPrEx>
        <w:trPr>
          <w:trHeight w:val="674" w:hRule="atLeast"/>
          <w:jc w:val="center"/>
        </w:trPr>
        <w:tc>
          <w:tcPr>
            <w:tcW w:w="2805" w:type="dxa"/>
            <w:tcBorders>
              <w:top w:val="single" w:color="000000" w:sz="4" w:space="0"/>
              <w:left w:val="single" w:color="000000" w:sz="4" w:space="0"/>
              <w:bottom w:val="single" w:color="000000" w:sz="4" w:space="0"/>
              <w:right w:val="single" w:color="000000" w:sz="4" w:space="0"/>
            </w:tcBorders>
            <w:vAlign w:val="center"/>
          </w:tcPr>
          <w:p w14:paraId="20B284D5">
            <w:pPr>
              <w:keepNext w:val="0"/>
              <w:keepLines w:val="0"/>
              <w:suppressLineNumbers w:val="0"/>
              <w:spacing w:before="0" w:beforeAutospacing="0" w:after="0" w:afterAutospacing="0"/>
              <w:ind w:left="0" w:right="0" w:firstLine="120" w:firstLineChars="50"/>
              <w:jc w:val="center"/>
              <w:rPr>
                <w:rFonts w:hint="default" w:ascii="宋体" w:cs="宋体"/>
                <w:color w:val="auto"/>
                <w:sz w:val="24"/>
              </w:rPr>
            </w:pPr>
            <w:r>
              <w:rPr>
                <w:rFonts w:hint="eastAsia" w:ascii="宋体" w:cs="宋体"/>
                <w:color w:val="auto"/>
                <w:sz w:val="24"/>
              </w:rPr>
              <w:t>项目</w:t>
            </w:r>
          </w:p>
        </w:tc>
        <w:tc>
          <w:tcPr>
            <w:tcW w:w="5164" w:type="dxa"/>
            <w:tcBorders>
              <w:top w:val="single" w:color="000000" w:sz="4" w:space="0"/>
              <w:left w:val="single" w:color="000000" w:sz="4" w:space="0"/>
              <w:bottom w:val="single" w:color="000000" w:sz="4" w:space="0"/>
              <w:right w:val="single" w:color="000000" w:sz="4" w:space="0"/>
            </w:tcBorders>
            <w:vAlign w:val="center"/>
          </w:tcPr>
          <w:p w14:paraId="3B2E771A">
            <w:pPr>
              <w:keepNext w:val="0"/>
              <w:keepLines w:val="0"/>
              <w:suppressLineNumbers w:val="0"/>
              <w:spacing w:before="0" w:beforeAutospacing="0" w:after="0" w:afterAutospacing="0"/>
              <w:ind w:left="0" w:right="0" w:firstLine="120" w:firstLineChars="50"/>
              <w:jc w:val="center"/>
              <w:rPr>
                <w:rFonts w:hint="default" w:ascii="宋体" w:cs="宋体"/>
                <w:color w:val="auto"/>
                <w:sz w:val="24"/>
              </w:rPr>
            </w:pPr>
            <w:r>
              <w:rPr>
                <w:rFonts w:hint="eastAsia" w:ascii="宋体" w:cs="宋体"/>
                <w:color w:val="auto"/>
                <w:sz w:val="24"/>
              </w:rPr>
              <w:t>金额（费率/计算基础）</w:t>
            </w:r>
          </w:p>
        </w:tc>
      </w:tr>
      <w:tr w14:paraId="16E9EF2F">
        <w:tblPrEx>
          <w:tblCellMar>
            <w:top w:w="0" w:type="dxa"/>
            <w:left w:w="108" w:type="dxa"/>
            <w:bottom w:w="0" w:type="dxa"/>
            <w:right w:w="108" w:type="dxa"/>
          </w:tblCellMar>
        </w:tblPrEx>
        <w:trPr>
          <w:trHeight w:val="435" w:hRule="atLeast"/>
          <w:jc w:val="center"/>
        </w:trPr>
        <w:tc>
          <w:tcPr>
            <w:tcW w:w="2805" w:type="dxa"/>
            <w:tcBorders>
              <w:top w:val="single" w:color="000000" w:sz="4" w:space="0"/>
              <w:left w:val="single" w:color="000000" w:sz="4" w:space="0"/>
              <w:bottom w:val="single" w:color="000000" w:sz="4" w:space="0"/>
              <w:right w:val="single" w:color="000000" w:sz="4" w:space="0"/>
            </w:tcBorders>
            <w:vAlign w:val="center"/>
          </w:tcPr>
          <w:p w14:paraId="06A2CC38">
            <w:pPr>
              <w:keepNext w:val="0"/>
              <w:keepLines w:val="0"/>
              <w:suppressLineNumbers w:val="0"/>
              <w:spacing w:before="0" w:beforeAutospacing="0" w:after="0" w:afterAutospacing="0"/>
              <w:ind w:left="0" w:right="0" w:firstLine="120" w:firstLineChars="50"/>
              <w:jc w:val="center"/>
              <w:rPr>
                <w:rFonts w:hint="default" w:ascii="宋体" w:cs="宋体"/>
                <w:color w:val="auto"/>
                <w:sz w:val="24"/>
              </w:rPr>
            </w:pPr>
            <w:r>
              <w:rPr>
                <w:rFonts w:hint="eastAsia" w:ascii="宋体" w:cs="宋体"/>
                <w:color w:val="auto"/>
                <w:sz w:val="24"/>
              </w:rPr>
              <w:t>暂列金额</w:t>
            </w:r>
          </w:p>
        </w:tc>
        <w:tc>
          <w:tcPr>
            <w:tcW w:w="5164" w:type="dxa"/>
            <w:tcBorders>
              <w:top w:val="single" w:color="000000" w:sz="4" w:space="0"/>
              <w:left w:val="single" w:color="000000" w:sz="4" w:space="0"/>
              <w:bottom w:val="single" w:color="000000" w:sz="4" w:space="0"/>
              <w:right w:val="single" w:color="000000" w:sz="4" w:space="0"/>
            </w:tcBorders>
            <w:vAlign w:val="center"/>
          </w:tcPr>
          <w:p w14:paraId="06936A61">
            <w:pPr>
              <w:keepNext w:val="0"/>
              <w:keepLines w:val="0"/>
              <w:suppressLineNumbers w:val="0"/>
              <w:spacing w:before="0" w:beforeAutospacing="0" w:after="0" w:afterAutospacing="0"/>
              <w:ind w:left="0" w:right="0" w:firstLine="120" w:firstLineChars="50"/>
              <w:jc w:val="center"/>
              <w:rPr>
                <w:rFonts w:hint="default" w:ascii="宋体" w:cs="宋体"/>
                <w:color w:val="auto"/>
                <w:sz w:val="24"/>
              </w:rPr>
            </w:pPr>
            <w:r>
              <w:rPr>
                <w:rFonts w:hint="default" w:ascii="宋体" w:cs="宋体"/>
                <w:color w:val="auto"/>
                <w:sz w:val="24"/>
              </w:rPr>
              <w:t xml:space="preserve">  </w:t>
            </w:r>
            <w:r>
              <w:rPr>
                <w:rFonts w:hint="eastAsia" w:ascii="宋体" w:cs="宋体"/>
                <w:color w:val="auto"/>
                <w:sz w:val="24"/>
              </w:rPr>
              <w:t>/</w:t>
            </w:r>
          </w:p>
        </w:tc>
      </w:tr>
      <w:tr w14:paraId="71BE94BC">
        <w:tblPrEx>
          <w:tblCellMar>
            <w:top w:w="0" w:type="dxa"/>
            <w:left w:w="108" w:type="dxa"/>
            <w:bottom w:w="0" w:type="dxa"/>
            <w:right w:w="108" w:type="dxa"/>
          </w:tblCellMar>
        </w:tblPrEx>
        <w:trPr>
          <w:trHeight w:val="417" w:hRule="atLeast"/>
          <w:jc w:val="center"/>
        </w:trPr>
        <w:tc>
          <w:tcPr>
            <w:tcW w:w="2805" w:type="dxa"/>
            <w:tcBorders>
              <w:top w:val="single" w:color="000000" w:sz="4" w:space="0"/>
              <w:left w:val="single" w:color="000000" w:sz="4" w:space="0"/>
              <w:bottom w:val="single" w:color="000000" w:sz="4" w:space="0"/>
              <w:right w:val="single" w:color="000000" w:sz="4" w:space="0"/>
            </w:tcBorders>
            <w:vAlign w:val="center"/>
          </w:tcPr>
          <w:p w14:paraId="29681678">
            <w:pPr>
              <w:keepNext w:val="0"/>
              <w:keepLines w:val="0"/>
              <w:suppressLineNumbers w:val="0"/>
              <w:spacing w:before="0" w:beforeAutospacing="0" w:after="0" w:afterAutospacing="0"/>
              <w:ind w:left="0" w:right="0" w:firstLine="120" w:firstLineChars="50"/>
              <w:jc w:val="center"/>
              <w:rPr>
                <w:rFonts w:hint="default" w:ascii="宋体" w:cs="宋体"/>
                <w:color w:val="auto"/>
                <w:sz w:val="24"/>
              </w:rPr>
            </w:pPr>
            <w:r>
              <w:rPr>
                <w:rFonts w:hint="eastAsia" w:ascii="宋体" w:cs="宋体"/>
                <w:color w:val="auto"/>
                <w:sz w:val="24"/>
              </w:rPr>
              <w:t>专业工程暂估价（含税）</w:t>
            </w:r>
          </w:p>
        </w:tc>
        <w:tc>
          <w:tcPr>
            <w:tcW w:w="5164" w:type="dxa"/>
            <w:tcBorders>
              <w:top w:val="single" w:color="000000" w:sz="4" w:space="0"/>
              <w:left w:val="single" w:color="000000" w:sz="4" w:space="0"/>
              <w:bottom w:val="single" w:color="000000" w:sz="4" w:space="0"/>
              <w:right w:val="single" w:color="000000" w:sz="4" w:space="0"/>
            </w:tcBorders>
            <w:vAlign w:val="center"/>
          </w:tcPr>
          <w:p w14:paraId="3A2DD14F">
            <w:pPr>
              <w:keepNext w:val="0"/>
              <w:keepLines w:val="0"/>
              <w:suppressLineNumbers w:val="0"/>
              <w:spacing w:before="0" w:beforeAutospacing="0" w:after="0" w:afterAutospacing="0"/>
              <w:ind w:left="0" w:right="0" w:firstLine="120" w:firstLineChars="50"/>
              <w:jc w:val="center"/>
              <w:rPr>
                <w:rFonts w:hint="default" w:ascii="宋体" w:cs="宋体"/>
                <w:color w:val="auto"/>
                <w:sz w:val="24"/>
              </w:rPr>
            </w:pPr>
            <w:r>
              <w:rPr>
                <w:rFonts w:hint="eastAsia" w:ascii="宋体" w:cs="宋体"/>
                <w:color w:val="auto"/>
                <w:sz w:val="24"/>
              </w:rPr>
              <w:t>/</w:t>
            </w:r>
          </w:p>
        </w:tc>
      </w:tr>
      <w:tr w14:paraId="1F448FE7">
        <w:tblPrEx>
          <w:tblCellMar>
            <w:top w:w="0" w:type="dxa"/>
            <w:left w:w="108" w:type="dxa"/>
            <w:bottom w:w="0" w:type="dxa"/>
            <w:right w:w="108" w:type="dxa"/>
          </w:tblCellMar>
        </w:tblPrEx>
        <w:trPr>
          <w:trHeight w:val="435" w:hRule="atLeast"/>
          <w:jc w:val="center"/>
        </w:trPr>
        <w:tc>
          <w:tcPr>
            <w:tcW w:w="2805" w:type="dxa"/>
            <w:tcBorders>
              <w:top w:val="single" w:color="000000" w:sz="4" w:space="0"/>
              <w:left w:val="single" w:color="000000" w:sz="4" w:space="0"/>
              <w:bottom w:val="single" w:color="000000" w:sz="4" w:space="0"/>
              <w:right w:val="single" w:color="000000" w:sz="4" w:space="0"/>
            </w:tcBorders>
            <w:vAlign w:val="center"/>
          </w:tcPr>
          <w:p w14:paraId="7CE8ED83">
            <w:pPr>
              <w:keepNext w:val="0"/>
              <w:keepLines w:val="0"/>
              <w:suppressLineNumbers w:val="0"/>
              <w:spacing w:before="0" w:beforeAutospacing="0" w:after="0" w:afterAutospacing="0"/>
              <w:ind w:left="0" w:right="0" w:firstLine="120" w:firstLineChars="50"/>
              <w:jc w:val="center"/>
              <w:rPr>
                <w:rFonts w:hint="default" w:ascii="宋体" w:cs="宋体"/>
                <w:color w:val="auto"/>
                <w:sz w:val="24"/>
              </w:rPr>
            </w:pPr>
            <w:r>
              <w:rPr>
                <w:rFonts w:hint="eastAsia" w:ascii="宋体" w:cs="宋体"/>
                <w:color w:val="auto"/>
                <w:sz w:val="24"/>
              </w:rPr>
              <w:t>材料暂估价</w:t>
            </w:r>
          </w:p>
        </w:tc>
        <w:tc>
          <w:tcPr>
            <w:tcW w:w="5164" w:type="dxa"/>
            <w:tcBorders>
              <w:top w:val="single" w:color="000000" w:sz="4" w:space="0"/>
              <w:left w:val="single" w:color="000000" w:sz="4" w:space="0"/>
              <w:bottom w:val="single" w:color="000000" w:sz="4" w:space="0"/>
              <w:right w:val="single" w:color="000000" w:sz="4" w:space="0"/>
            </w:tcBorders>
            <w:vAlign w:val="center"/>
          </w:tcPr>
          <w:p w14:paraId="3B70EF04">
            <w:pPr>
              <w:keepNext w:val="0"/>
              <w:keepLines w:val="0"/>
              <w:suppressLineNumbers w:val="0"/>
              <w:spacing w:before="0" w:beforeAutospacing="0" w:after="0" w:afterAutospacing="0"/>
              <w:ind w:left="0" w:right="0" w:firstLine="120" w:firstLineChars="50"/>
              <w:jc w:val="center"/>
              <w:rPr>
                <w:rFonts w:hint="default" w:ascii="宋体" w:cs="宋体"/>
                <w:color w:val="auto"/>
                <w:sz w:val="24"/>
              </w:rPr>
            </w:pPr>
            <w:r>
              <w:rPr>
                <w:rFonts w:hint="eastAsia" w:ascii="宋体" w:cs="宋体"/>
                <w:color w:val="auto"/>
                <w:sz w:val="24"/>
              </w:rPr>
              <w:t>/</w:t>
            </w:r>
          </w:p>
        </w:tc>
      </w:tr>
      <w:tr w14:paraId="7DEA844F">
        <w:tblPrEx>
          <w:tblCellMar>
            <w:top w:w="0" w:type="dxa"/>
            <w:left w:w="108" w:type="dxa"/>
            <w:bottom w:w="0" w:type="dxa"/>
            <w:right w:w="108" w:type="dxa"/>
          </w:tblCellMar>
        </w:tblPrEx>
        <w:trPr>
          <w:trHeight w:val="788" w:hRule="atLeast"/>
          <w:jc w:val="center"/>
        </w:trPr>
        <w:tc>
          <w:tcPr>
            <w:tcW w:w="2805" w:type="dxa"/>
            <w:tcBorders>
              <w:top w:val="single" w:color="000000" w:sz="4" w:space="0"/>
              <w:left w:val="single" w:color="000000" w:sz="4" w:space="0"/>
              <w:bottom w:val="single" w:color="000000" w:sz="4" w:space="0"/>
              <w:right w:val="single" w:color="000000" w:sz="4" w:space="0"/>
            </w:tcBorders>
            <w:vAlign w:val="center"/>
          </w:tcPr>
          <w:p w14:paraId="29EEF1FF">
            <w:pPr>
              <w:keepNext w:val="0"/>
              <w:keepLines w:val="0"/>
              <w:suppressLineNumbers w:val="0"/>
              <w:spacing w:before="0" w:beforeAutospacing="0" w:after="0" w:afterAutospacing="0"/>
              <w:ind w:left="0" w:right="0" w:firstLine="120" w:firstLineChars="50"/>
              <w:jc w:val="center"/>
              <w:rPr>
                <w:rFonts w:hint="default" w:ascii="宋体" w:cs="宋体"/>
                <w:color w:val="auto"/>
                <w:sz w:val="24"/>
              </w:rPr>
            </w:pPr>
            <w:r>
              <w:rPr>
                <w:rFonts w:hint="eastAsia" w:ascii="宋体" w:cs="宋体"/>
                <w:color w:val="auto"/>
                <w:sz w:val="24"/>
              </w:rPr>
              <w:t>安全生产措施费费率</w:t>
            </w:r>
          </w:p>
        </w:tc>
        <w:tc>
          <w:tcPr>
            <w:tcW w:w="5164" w:type="dxa"/>
            <w:tcBorders>
              <w:top w:val="single" w:color="000000" w:sz="4" w:space="0"/>
              <w:left w:val="single" w:color="000000" w:sz="4" w:space="0"/>
              <w:bottom w:val="single" w:color="000000" w:sz="4" w:space="0"/>
              <w:right w:val="single" w:color="000000" w:sz="4" w:space="0"/>
            </w:tcBorders>
            <w:vAlign w:val="center"/>
          </w:tcPr>
          <w:p w14:paraId="23C03445">
            <w:pPr>
              <w:keepNext w:val="0"/>
              <w:keepLines w:val="0"/>
              <w:suppressLineNumbers w:val="0"/>
              <w:spacing w:before="0" w:beforeAutospacing="0" w:after="0" w:afterAutospacing="0"/>
              <w:ind w:left="0" w:right="0" w:firstLine="120" w:firstLineChars="50"/>
              <w:jc w:val="center"/>
              <w:rPr>
                <w:rFonts w:hint="default" w:ascii="宋体" w:cs="宋体"/>
                <w:color w:val="auto"/>
                <w:sz w:val="24"/>
              </w:rPr>
            </w:pPr>
            <w:r>
              <w:rPr>
                <w:rFonts w:hint="eastAsia" w:ascii="宋体" w:cs="宋体"/>
                <w:color w:val="auto"/>
                <w:sz w:val="24"/>
              </w:rPr>
              <w:t>3.8%。</w:t>
            </w:r>
            <w:r>
              <w:rPr>
                <w:rFonts w:hint="eastAsia" w:ascii="宋体" w:cs="宋体"/>
                <w:color w:val="auto"/>
                <w:sz w:val="24"/>
              </w:rPr>
              <w:br w:type="textWrapping"/>
            </w:r>
            <w:r>
              <w:rPr>
                <w:rFonts w:hint="eastAsia" w:ascii="宋体" w:cs="宋体"/>
                <w:color w:val="auto"/>
                <w:sz w:val="24"/>
              </w:rPr>
              <w:t>（计算基础：分部分项工程费-除税工程设备费）</w:t>
            </w:r>
          </w:p>
        </w:tc>
      </w:tr>
      <w:tr w14:paraId="7F91F1E3">
        <w:tblPrEx>
          <w:tblCellMar>
            <w:top w:w="0" w:type="dxa"/>
            <w:left w:w="108" w:type="dxa"/>
            <w:bottom w:w="0" w:type="dxa"/>
            <w:right w:w="108" w:type="dxa"/>
          </w:tblCellMar>
        </w:tblPrEx>
        <w:trPr>
          <w:trHeight w:val="1380" w:hRule="atLeast"/>
          <w:jc w:val="center"/>
        </w:trPr>
        <w:tc>
          <w:tcPr>
            <w:tcW w:w="2805" w:type="dxa"/>
            <w:tcBorders>
              <w:top w:val="single" w:color="000000" w:sz="4" w:space="0"/>
              <w:left w:val="single" w:color="000000" w:sz="4" w:space="0"/>
              <w:bottom w:val="single" w:color="000000" w:sz="4" w:space="0"/>
              <w:right w:val="single" w:color="000000" w:sz="4" w:space="0"/>
            </w:tcBorders>
            <w:vAlign w:val="center"/>
          </w:tcPr>
          <w:p w14:paraId="3C0B9304">
            <w:pPr>
              <w:keepNext w:val="0"/>
              <w:keepLines w:val="0"/>
              <w:suppressLineNumbers w:val="0"/>
              <w:spacing w:before="0" w:beforeAutospacing="0" w:after="0" w:afterAutospacing="0"/>
              <w:ind w:left="0" w:right="0" w:firstLine="120" w:firstLineChars="50"/>
              <w:jc w:val="center"/>
              <w:rPr>
                <w:rFonts w:hint="default" w:ascii="宋体" w:cs="宋体"/>
                <w:color w:val="auto"/>
                <w:sz w:val="24"/>
              </w:rPr>
            </w:pPr>
            <w:r>
              <w:rPr>
                <w:rFonts w:hint="eastAsia" w:ascii="宋体" w:cs="宋体"/>
                <w:color w:val="auto"/>
                <w:sz w:val="24"/>
              </w:rPr>
              <w:t>增值税税率</w:t>
            </w:r>
          </w:p>
        </w:tc>
        <w:tc>
          <w:tcPr>
            <w:tcW w:w="5164" w:type="dxa"/>
            <w:tcBorders>
              <w:top w:val="single" w:color="000000" w:sz="4" w:space="0"/>
              <w:left w:val="single" w:color="000000" w:sz="4" w:space="0"/>
              <w:bottom w:val="single" w:color="000000" w:sz="4" w:space="0"/>
              <w:right w:val="single" w:color="000000" w:sz="4" w:space="0"/>
            </w:tcBorders>
            <w:vAlign w:val="center"/>
          </w:tcPr>
          <w:p w14:paraId="4083E05C">
            <w:pPr>
              <w:keepNext w:val="0"/>
              <w:keepLines w:val="0"/>
              <w:suppressLineNumbers w:val="0"/>
              <w:spacing w:before="0" w:beforeAutospacing="0" w:after="0" w:afterAutospacing="0"/>
              <w:ind w:left="0" w:right="0" w:firstLine="120" w:firstLineChars="50"/>
              <w:jc w:val="center"/>
              <w:rPr>
                <w:rFonts w:hint="default" w:ascii="宋体" w:cs="宋体"/>
                <w:color w:val="auto"/>
                <w:sz w:val="24"/>
              </w:rPr>
            </w:pPr>
            <w:r>
              <w:rPr>
                <w:rFonts w:hint="eastAsia" w:ascii="宋体" w:cs="宋体"/>
                <w:color w:val="auto"/>
                <w:sz w:val="24"/>
              </w:rPr>
              <w:t>9%</w:t>
            </w:r>
            <w:r>
              <w:rPr>
                <w:rFonts w:hint="eastAsia" w:ascii="宋体" w:cs="宋体"/>
                <w:color w:val="auto"/>
                <w:sz w:val="24"/>
              </w:rPr>
              <w:br w:type="textWrapping"/>
            </w:r>
            <w:r>
              <w:rPr>
                <w:rFonts w:hint="eastAsia" w:ascii="宋体" w:cs="宋体"/>
                <w:color w:val="auto"/>
                <w:sz w:val="24"/>
              </w:rPr>
              <w:t>【计算基础：分部分项工程费+措施项目费+其他项目费-除税甲供材料和甲供设备费-专业工程暂估价】</w:t>
            </w:r>
          </w:p>
        </w:tc>
      </w:tr>
    </w:tbl>
    <w:p w14:paraId="0A0C7421">
      <w:pPr>
        <w:spacing w:line="360" w:lineRule="auto"/>
        <w:ind w:firstLine="480" w:firstLineChars="200"/>
        <w:rPr>
          <w:rFonts w:cs="宋体"/>
          <w:color w:val="auto"/>
          <w:sz w:val="24"/>
        </w:rPr>
      </w:pPr>
      <w:r>
        <w:rPr>
          <w:rFonts w:hint="eastAsia" w:cs="宋体"/>
          <w:color w:val="auto"/>
          <w:sz w:val="24"/>
        </w:rPr>
        <w:t>注：投标时暂列金额、暂估价、增值税税率、安全生产措施费费率均以24JZ格式工程量清单文件为准，投标时不得改变，否则按无效投标处理。</w:t>
      </w:r>
    </w:p>
    <w:p w14:paraId="5B7830DD">
      <w:pPr>
        <w:spacing w:line="440" w:lineRule="exact"/>
        <w:ind w:firstLine="482" w:firstLineChars="200"/>
        <w:rPr>
          <w:rFonts w:ascii="宋体" w:hAnsi="宋体" w:cs="宋体"/>
          <w:b/>
          <w:color w:val="auto"/>
          <w:sz w:val="24"/>
        </w:rPr>
      </w:pPr>
      <w:r>
        <w:rPr>
          <w:rFonts w:hint="eastAsia" w:ascii="宋体" w:hAnsi="宋体" w:cs="宋体"/>
          <w:b/>
          <w:color w:val="auto"/>
          <w:sz w:val="24"/>
        </w:rPr>
        <w:t>19、投标报价编制要求</w:t>
      </w:r>
    </w:p>
    <w:p w14:paraId="4C5C4EC3">
      <w:pPr>
        <w:spacing w:line="500" w:lineRule="exact"/>
        <w:ind w:firstLine="439" w:firstLineChars="182"/>
        <w:rPr>
          <w:rFonts w:cs="宋体" w:asciiTheme="minorEastAsia" w:hAnsiTheme="minorEastAsia" w:eastAsiaTheme="minorEastAsia"/>
          <w:b/>
          <w:color w:val="auto"/>
          <w:kern w:val="0"/>
          <w:sz w:val="24"/>
          <w:u w:val="single"/>
        </w:rPr>
      </w:pPr>
      <w:r>
        <w:rPr>
          <w:rFonts w:hint="eastAsia" w:cs="宋体" w:asciiTheme="minorEastAsia" w:hAnsiTheme="minorEastAsia" w:eastAsiaTheme="minorEastAsia"/>
          <w:b/>
          <w:color w:val="auto"/>
          <w:kern w:val="0"/>
          <w:sz w:val="24"/>
          <w:u w:val="single"/>
        </w:rPr>
        <w:t>19.1 除投标人自行补充的措施项目外，投标报价的项目编码、项目名称、项目特征、计量单位、工程量必须与招标人提供的一致。</w:t>
      </w:r>
    </w:p>
    <w:p w14:paraId="566C9D92">
      <w:pPr>
        <w:spacing w:line="500" w:lineRule="exact"/>
        <w:ind w:firstLine="439" w:firstLineChars="182"/>
        <w:rPr>
          <w:rFonts w:cs="宋体" w:asciiTheme="minorEastAsia" w:hAnsiTheme="minorEastAsia" w:eastAsiaTheme="minorEastAsia"/>
          <w:b/>
          <w:color w:val="auto"/>
          <w:kern w:val="0"/>
          <w:sz w:val="24"/>
          <w:u w:val="single"/>
        </w:rPr>
      </w:pPr>
      <w:r>
        <w:rPr>
          <w:rFonts w:hint="eastAsia" w:asciiTheme="minorEastAsia" w:hAnsiTheme="minorEastAsia" w:eastAsiaTheme="minorEastAsia"/>
          <w:b/>
          <w:bCs/>
          <w:color w:val="auto"/>
          <w:kern w:val="0"/>
          <w:sz w:val="24"/>
          <w:u w:val="single"/>
        </w:rPr>
        <w:t>若投标人在投标报价时擅自改变招标文件及清单内容，评审时未被发现，实际施工时均按招标文件及清单内容执行，结算时不予调整。</w:t>
      </w:r>
    </w:p>
    <w:p w14:paraId="1A163702">
      <w:pPr>
        <w:spacing w:line="500" w:lineRule="exact"/>
        <w:ind w:firstLine="439" w:firstLineChars="182"/>
        <w:rPr>
          <w:rFonts w:cs="宋体" w:asciiTheme="minorEastAsia" w:hAnsiTheme="minorEastAsia" w:eastAsiaTheme="minorEastAsia"/>
          <w:b/>
          <w:color w:val="auto"/>
          <w:kern w:val="0"/>
          <w:sz w:val="24"/>
          <w:u w:val="single"/>
        </w:rPr>
      </w:pPr>
      <w:r>
        <w:rPr>
          <w:rFonts w:hint="eastAsia" w:cs="宋体" w:asciiTheme="minorEastAsia" w:hAnsiTheme="minorEastAsia" w:eastAsiaTheme="minorEastAsia"/>
          <w:b/>
          <w:color w:val="auto"/>
          <w:kern w:val="0"/>
          <w:sz w:val="24"/>
          <w:u w:val="single"/>
        </w:rPr>
        <w:t>19.2参考</w:t>
      </w:r>
      <w:r>
        <w:rPr>
          <w:rFonts w:hint="eastAsia" w:cs="宋体" w:asciiTheme="minorEastAsia" w:hAnsiTheme="minorEastAsia" w:eastAsiaTheme="minorEastAsia"/>
          <w:b/>
          <w:color w:val="auto"/>
          <w:kern w:val="0"/>
          <w:sz w:val="24"/>
          <w:u w:val="single"/>
          <w:lang w:eastAsia="zh-CN"/>
        </w:rPr>
        <w:t>最高投标限价</w:t>
      </w:r>
      <w:r>
        <w:rPr>
          <w:rFonts w:hint="eastAsia" w:cs="宋体" w:asciiTheme="minorEastAsia" w:hAnsiTheme="minorEastAsia" w:eastAsiaTheme="minorEastAsia"/>
          <w:b/>
          <w:color w:val="auto"/>
          <w:kern w:val="0"/>
          <w:sz w:val="24"/>
          <w:u w:val="single"/>
        </w:rPr>
        <w:t>编制依据,不可竞争费用不下浮。中标后中标人不得以</w:t>
      </w:r>
      <w:r>
        <w:rPr>
          <w:rFonts w:hint="eastAsia" w:cs="宋体" w:asciiTheme="minorEastAsia" w:hAnsiTheme="minorEastAsia" w:eastAsiaTheme="minorEastAsia"/>
          <w:b/>
          <w:color w:val="auto"/>
          <w:kern w:val="0"/>
          <w:sz w:val="24"/>
          <w:u w:val="single"/>
          <w:lang w:eastAsia="zh-CN"/>
        </w:rPr>
        <w:t>最高投标限价</w:t>
      </w:r>
      <w:r>
        <w:rPr>
          <w:rFonts w:hint="eastAsia" w:cs="宋体" w:asciiTheme="minorEastAsia" w:hAnsiTheme="minorEastAsia" w:eastAsiaTheme="minorEastAsia"/>
          <w:b/>
          <w:color w:val="auto"/>
          <w:kern w:val="0"/>
          <w:sz w:val="24"/>
          <w:u w:val="single"/>
        </w:rPr>
        <w:t>中可能存在的不合理或错误作为借口而要求签证或索赔。</w:t>
      </w:r>
    </w:p>
    <w:p w14:paraId="5C8EFBFE">
      <w:pPr>
        <w:spacing w:line="500" w:lineRule="exact"/>
        <w:ind w:firstLine="439" w:firstLineChars="182"/>
        <w:rPr>
          <w:rFonts w:cs="宋体" w:asciiTheme="minorEastAsia" w:hAnsiTheme="minorEastAsia" w:eastAsiaTheme="minorEastAsia"/>
          <w:b/>
          <w:color w:val="auto"/>
          <w:kern w:val="0"/>
          <w:sz w:val="24"/>
          <w:u w:val="single"/>
        </w:rPr>
      </w:pPr>
      <w:r>
        <w:rPr>
          <w:rFonts w:hint="eastAsia" w:cs="宋体" w:asciiTheme="minorEastAsia" w:hAnsiTheme="minorEastAsia" w:eastAsiaTheme="minorEastAsia"/>
          <w:b/>
          <w:color w:val="auto"/>
          <w:kern w:val="0"/>
          <w:sz w:val="24"/>
          <w:u w:val="single"/>
        </w:rPr>
        <w:t>19.3投标人确定投标报价，同时应考虑合同价中包含的所有风险、责任等各项费用。</w:t>
      </w:r>
    </w:p>
    <w:p w14:paraId="0A2BFDD5">
      <w:pPr>
        <w:spacing w:line="500" w:lineRule="exact"/>
        <w:ind w:firstLine="482" w:firstLineChars="200"/>
        <w:rPr>
          <w:rFonts w:cs="宋体" w:asciiTheme="minorEastAsia" w:hAnsiTheme="minorEastAsia" w:eastAsiaTheme="minorEastAsia"/>
          <w:b/>
          <w:color w:val="auto"/>
          <w:kern w:val="0"/>
          <w:sz w:val="24"/>
          <w:u w:val="single"/>
        </w:rPr>
      </w:pPr>
      <w:r>
        <w:rPr>
          <w:rFonts w:hint="eastAsia" w:cs="宋体" w:asciiTheme="minorEastAsia" w:hAnsiTheme="minorEastAsia" w:eastAsiaTheme="minorEastAsia"/>
          <w:b/>
          <w:color w:val="auto"/>
          <w:kern w:val="0"/>
          <w:sz w:val="24"/>
          <w:u w:val="single"/>
        </w:rPr>
        <w:t>19.4投标文件格式必须表式齐全，否则评标委员会可视为该投标函未按招标文件要求提供必要内容，属内容不全。</w:t>
      </w:r>
    </w:p>
    <w:p w14:paraId="67E267C9">
      <w:pPr>
        <w:spacing w:line="500" w:lineRule="exact"/>
        <w:ind w:firstLine="439" w:firstLineChars="182"/>
        <w:rPr>
          <w:rFonts w:cs="宋体" w:asciiTheme="minorEastAsia" w:hAnsiTheme="minorEastAsia" w:eastAsiaTheme="minorEastAsia"/>
          <w:b/>
          <w:color w:val="auto"/>
          <w:kern w:val="0"/>
          <w:sz w:val="24"/>
          <w:u w:val="single"/>
        </w:rPr>
      </w:pPr>
      <w:r>
        <w:rPr>
          <w:rFonts w:hint="eastAsia" w:asciiTheme="minorEastAsia" w:hAnsiTheme="minorEastAsia" w:eastAsiaTheme="minorEastAsia"/>
          <w:b/>
          <w:bCs/>
          <w:color w:val="auto"/>
          <w:kern w:val="0"/>
          <w:sz w:val="24"/>
          <w:u w:val="single"/>
        </w:rPr>
        <w:t>19.5报价书中的工程数量乘以综合单价必须等于合价。如有误差，在结算时以综合单价金额小的为计算依据。</w:t>
      </w:r>
    </w:p>
    <w:p w14:paraId="343AC792">
      <w:pPr>
        <w:spacing w:line="500" w:lineRule="exact"/>
        <w:ind w:firstLine="439" w:firstLineChars="182"/>
        <w:rPr>
          <w:rFonts w:cs="宋体" w:asciiTheme="minorEastAsia" w:hAnsiTheme="minorEastAsia" w:eastAsiaTheme="minorEastAsia"/>
          <w:b/>
          <w:color w:val="auto"/>
          <w:kern w:val="0"/>
          <w:sz w:val="24"/>
          <w:u w:val="single"/>
        </w:rPr>
      </w:pPr>
      <w:r>
        <w:rPr>
          <w:rFonts w:hint="eastAsia" w:cs="宋体" w:asciiTheme="minorEastAsia" w:hAnsiTheme="minorEastAsia" w:eastAsiaTheme="minorEastAsia"/>
          <w:b/>
          <w:color w:val="auto"/>
          <w:kern w:val="0"/>
          <w:sz w:val="24"/>
          <w:u w:val="single"/>
        </w:rPr>
        <w:t>19.6工程量清单中投标人没有填入单价或价格的子目，其费用视为已分摊在工程量清单中其他子目的单价或价格之中。报价书中的工程数量乘以综合单价必须等于合价。如有误差，在结算时以综合单价金额小的或有利于招标人的为计算依据。</w:t>
      </w:r>
    </w:p>
    <w:p w14:paraId="7462AE1C">
      <w:pPr>
        <w:spacing w:line="500" w:lineRule="exact"/>
        <w:ind w:firstLine="482" w:firstLineChars="200"/>
        <w:rPr>
          <w:rFonts w:cs="宋体" w:asciiTheme="minorEastAsia" w:hAnsiTheme="minorEastAsia" w:eastAsiaTheme="minorEastAsia"/>
          <w:b/>
          <w:color w:val="auto"/>
          <w:kern w:val="0"/>
          <w:sz w:val="24"/>
          <w:u w:val="single"/>
        </w:rPr>
      </w:pPr>
      <w:r>
        <w:rPr>
          <w:rFonts w:hint="eastAsia" w:cs="宋体" w:asciiTheme="minorEastAsia" w:hAnsiTheme="minorEastAsia" w:eastAsiaTheme="minorEastAsia"/>
          <w:b/>
          <w:color w:val="auto"/>
          <w:kern w:val="0"/>
          <w:sz w:val="24"/>
          <w:u w:val="single"/>
        </w:rPr>
        <w:t>19.7投标报价应包括招标文件所确定招标范围内相应工程量清单及相关资料包括的全部内容。以及为按招标文件所确定的工期、质量、安全、文明施工要求，完成上述内容所必须的附属工程、临时工程、材料、劳务及所需的全部费用。其中应包括材料、设备、存贮、运输、劳务、安装、调试、测试、成品保护、缺陷修补、维护、培训、售后服务、管理、利润、规费、措施费、税金、技术措施、施工方法、甲供材料的下车力资、设备档案、工程档案、合同履行过程中可能发生的风险及所需的全部费用。根据国家、地方规范和标准、各种文件规定、质监部门要求执行的而施工图和工程量清单中未明确的施工内容，在投标报价时必须综合到相关子目中进行报价，施工时不另行签证。</w:t>
      </w:r>
    </w:p>
    <w:p w14:paraId="26E1F003">
      <w:pPr>
        <w:autoSpaceDE w:val="0"/>
        <w:autoSpaceDN w:val="0"/>
        <w:adjustRightInd w:val="0"/>
        <w:spacing w:line="500" w:lineRule="exact"/>
        <w:ind w:firstLine="482" w:firstLineChars="200"/>
        <w:rPr>
          <w:rFonts w:cs="宋体" w:asciiTheme="minorEastAsia" w:hAnsiTheme="minorEastAsia" w:eastAsiaTheme="minorEastAsia"/>
          <w:b/>
          <w:color w:val="auto"/>
          <w:kern w:val="0"/>
          <w:sz w:val="24"/>
          <w:u w:val="single"/>
        </w:rPr>
      </w:pPr>
      <w:r>
        <w:rPr>
          <w:rFonts w:hint="eastAsia" w:cs="宋体" w:asciiTheme="minorEastAsia" w:hAnsiTheme="minorEastAsia" w:eastAsiaTheme="minorEastAsia"/>
          <w:b/>
          <w:color w:val="auto"/>
          <w:kern w:val="0"/>
          <w:sz w:val="24"/>
          <w:u w:val="single"/>
        </w:rPr>
        <w:t>19.8本工程施工期间涉及排污、环保、市容、消防、治安、城市卫生、市政、居委会、派出所等相关部门收取的费用，以及夜间文明施工、保护周边地下管线和架空线的安全的费用等，投标人应综合考虑在投标报价中，竣工结算时不再调整。需招标人配合的，招标人提供必要的配合。</w:t>
      </w:r>
    </w:p>
    <w:p w14:paraId="402DDDF9">
      <w:pPr>
        <w:autoSpaceDE w:val="0"/>
        <w:autoSpaceDN w:val="0"/>
        <w:adjustRightInd w:val="0"/>
        <w:spacing w:line="500" w:lineRule="exact"/>
        <w:ind w:firstLine="482" w:firstLineChars="200"/>
        <w:rPr>
          <w:rFonts w:cs="宋体" w:asciiTheme="minorEastAsia" w:hAnsiTheme="minorEastAsia" w:eastAsiaTheme="minorEastAsia"/>
          <w:b/>
          <w:color w:val="auto"/>
          <w:kern w:val="0"/>
          <w:sz w:val="24"/>
          <w:u w:val="single"/>
        </w:rPr>
      </w:pPr>
      <w:r>
        <w:rPr>
          <w:rFonts w:hint="eastAsia" w:cs="宋体" w:asciiTheme="minorEastAsia" w:hAnsiTheme="minorEastAsia" w:eastAsiaTheme="minorEastAsia"/>
          <w:b/>
          <w:color w:val="auto"/>
          <w:kern w:val="0"/>
          <w:sz w:val="24"/>
          <w:u w:val="single"/>
        </w:rPr>
        <w:t>19.9投标人应认真踏勘施工现场，考虑因各种困难因素所发生的一切费用由投标人自行考虑，并在投标报价中予以体现，以后不得以此为由提出额外增加费用的要求。</w:t>
      </w:r>
    </w:p>
    <w:p w14:paraId="78484D99">
      <w:pPr>
        <w:spacing w:line="360" w:lineRule="auto"/>
        <w:ind w:firstLine="472" w:firstLineChars="196"/>
        <w:rPr>
          <w:rFonts w:cs="宋体" w:asciiTheme="minorEastAsia" w:hAnsiTheme="minorEastAsia" w:eastAsiaTheme="minorEastAsia"/>
          <w:color w:val="auto"/>
          <w:sz w:val="24"/>
        </w:rPr>
      </w:pPr>
      <w:r>
        <w:rPr>
          <w:rFonts w:hint="eastAsia" w:cs="宋体" w:asciiTheme="minorEastAsia" w:hAnsiTheme="minorEastAsia" w:eastAsiaTheme="minorEastAsia"/>
          <w:b/>
          <w:color w:val="auto"/>
          <w:kern w:val="0"/>
          <w:sz w:val="24"/>
          <w:u w:val="single"/>
        </w:rPr>
        <w:t>19.1</w:t>
      </w:r>
      <w:r>
        <w:rPr>
          <w:rFonts w:hint="eastAsia" w:cs="宋体" w:asciiTheme="minorEastAsia" w:hAnsiTheme="minorEastAsia" w:eastAsiaTheme="minorEastAsia"/>
          <w:b/>
          <w:color w:val="auto"/>
          <w:kern w:val="0"/>
          <w:sz w:val="24"/>
          <w:u w:val="single"/>
          <w:lang w:val="en-US" w:eastAsia="zh-CN"/>
        </w:rPr>
        <w:t>0</w:t>
      </w:r>
      <w:r>
        <w:rPr>
          <w:rFonts w:hint="eastAsia" w:cs="宋体" w:asciiTheme="minorEastAsia" w:hAnsiTheme="minorEastAsia" w:eastAsiaTheme="minorEastAsia"/>
          <w:b/>
          <w:color w:val="auto"/>
          <w:kern w:val="0"/>
          <w:sz w:val="24"/>
          <w:u w:val="single"/>
        </w:rPr>
        <w:t>投标人应自行踏勘施工现场，</w:t>
      </w:r>
      <w:r>
        <w:rPr>
          <w:rFonts w:hint="eastAsia" w:cs="宋体" w:asciiTheme="minorEastAsia" w:hAnsiTheme="minorEastAsia" w:eastAsiaTheme="minorEastAsia"/>
          <w:b/>
          <w:bCs/>
          <w:color w:val="auto"/>
          <w:kern w:val="0"/>
          <w:sz w:val="24"/>
          <w:u w:val="single"/>
        </w:rPr>
        <w:t>并在投标报价中综合考虑施工机械设备、材料进出场、二次搬运等涉及所有费用并计入报价，</w:t>
      </w:r>
      <w:r>
        <w:rPr>
          <w:rFonts w:hint="eastAsia" w:cs="宋体" w:asciiTheme="minorEastAsia" w:hAnsiTheme="minorEastAsia" w:eastAsiaTheme="minorEastAsia"/>
          <w:b/>
          <w:color w:val="auto"/>
          <w:kern w:val="0"/>
          <w:sz w:val="24"/>
          <w:u w:val="single"/>
        </w:rPr>
        <w:t>中标后不得以场地现状及条件为由提出额外要求和增加工程费用，招标人不再对此项费用另行签证。</w:t>
      </w:r>
    </w:p>
    <w:p w14:paraId="1C7F1080">
      <w:pPr>
        <w:spacing w:line="500" w:lineRule="exact"/>
        <w:ind w:firstLine="482" w:firstLineChars="200"/>
        <w:rPr>
          <w:rFonts w:cs="宋体" w:asciiTheme="minorEastAsia" w:hAnsiTheme="minorEastAsia" w:eastAsiaTheme="minorEastAsia"/>
          <w:b/>
          <w:color w:val="auto"/>
          <w:kern w:val="0"/>
          <w:sz w:val="24"/>
          <w:u w:val="single"/>
        </w:rPr>
      </w:pPr>
      <w:r>
        <w:rPr>
          <w:rFonts w:hint="eastAsia" w:cs="宋体" w:asciiTheme="minorEastAsia" w:hAnsiTheme="minorEastAsia" w:eastAsiaTheme="minorEastAsia"/>
          <w:b/>
          <w:color w:val="auto"/>
          <w:kern w:val="0"/>
          <w:sz w:val="24"/>
          <w:u w:val="single"/>
        </w:rPr>
        <w:t>19.1</w:t>
      </w:r>
      <w:r>
        <w:rPr>
          <w:rFonts w:hint="eastAsia" w:cs="宋体" w:asciiTheme="minorEastAsia" w:hAnsiTheme="minorEastAsia" w:eastAsiaTheme="minorEastAsia"/>
          <w:b/>
          <w:color w:val="auto"/>
          <w:kern w:val="0"/>
          <w:sz w:val="24"/>
          <w:u w:val="single"/>
          <w:lang w:val="en-US" w:eastAsia="zh-CN"/>
        </w:rPr>
        <w:t>1</w:t>
      </w:r>
      <w:r>
        <w:rPr>
          <w:rFonts w:hint="eastAsia" w:cs="宋体" w:asciiTheme="minorEastAsia" w:hAnsiTheme="minorEastAsia" w:eastAsiaTheme="minorEastAsia"/>
          <w:b/>
          <w:bCs/>
          <w:color w:val="auto"/>
          <w:kern w:val="0"/>
          <w:sz w:val="24"/>
          <w:u w:val="single"/>
        </w:rPr>
        <w:t>投标人必须认真仔细踏勘施工现场，结合本工程实际情况，并在投标报价时综合考虑赶工措施费、已完工程及设备保护费、夜间施工费 、冬雨季施工费、临时设施费等总价措施费项目，并计入报价，该费用一次性包定，结算时一律不作调整。如有损坏，应按照不低于原设计标准恢复，费用列入报价。</w:t>
      </w:r>
    </w:p>
    <w:p w14:paraId="53385F5B">
      <w:pPr>
        <w:spacing w:line="500" w:lineRule="exact"/>
        <w:ind w:firstLine="482" w:firstLineChars="200"/>
        <w:rPr>
          <w:rFonts w:hint="eastAsia" w:cs="宋体" w:asciiTheme="minorEastAsia" w:hAnsiTheme="minorEastAsia" w:eastAsiaTheme="minorEastAsia"/>
          <w:b/>
          <w:bCs/>
          <w:color w:val="auto"/>
          <w:kern w:val="0"/>
          <w:sz w:val="24"/>
          <w:u w:val="single"/>
        </w:rPr>
      </w:pPr>
      <w:r>
        <w:rPr>
          <w:rFonts w:hint="eastAsia" w:cs="宋体" w:asciiTheme="minorEastAsia" w:hAnsiTheme="minorEastAsia" w:eastAsiaTheme="minorEastAsia"/>
          <w:b/>
          <w:bCs/>
          <w:color w:val="auto"/>
          <w:kern w:val="0"/>
          <w:sz w:val="24"/>
          <w:u w:val="single"/>
        </w:rPr>
        <w:t>19.1</w:t>
      </w:r>
      <w:r>
        <w:rPr>
          <w:rFonts w:hint="eastAsia" w:cs="宋体" w:asciiTheme="minorEastAsia" w:hAnsiTheme="minorEastAsia" w:eastAsiaTheme="minorEastAsia"/>
          <w:b/>
          <w:bCs/>
          <w:color w:val="auto"/>
          <w:kern w:val="0"/>
          <w:sz w:val="24"/>
          <w:u w:val="single"/>
          <w:lang w:val="en-US" w:eastAsia="zh-CN"/>
        </w:rPr>
        <w:t>2</w:t>
      </w:r>
      <w:r>
        <w:rPr>
          <w:rFonts w:hint="eastAsia" w:cs="宋体" w:asciiTheme="minorEastAsia" w:hAnsiTheme="minorEastAsia" w:eastAsiaTheme="minorEastAsia"/>
          <w:b/>
          <w:bCs/>
          <w:color w:val="auto"/>
          <w:kern w:val="0"/>
          <w:sz w:val="24"/>
          <w:u w:val="single"/>
        </w:rPr>
        <w:t>投标报价中应综合考虑施工过程中，由于施工本身所发生或产生的建筑垃圾运输、清理、运出、地基处理等涉及的所有费用，涉及的所有费用由投标人自行考虑并包含在投标总价中，结算时一律不再调整（施工过程中所有建筑垃圾清运必须清运至指定地点且符合有关部门的规定，否则，除须接受相关部门的处罚外，发现一次，中标人将向招标人支付2000元/次的违约金，并承担二次运输费用、相关罚款和其他违约责任。</w:t>
      </w:r>
    </w:p>
    <w:p w14:paraId="1404BFC4">
      <w:pPr>
        <w:spacing w:line="500" w:lineRule="exact"/>
        <w:ind w:firstLine="482" w:firstLineChars="200"/>
        <w:rPr>
          <w:rFonts w:hint="default" w:eastAsiaTheme="minorEastAsia"/>
          <w:color w:val="auto"/>
          <w:lang w:val="en-US" w:eastAsia="zh-CN"/>
        </w:rPr>
      </w:pPr>
      <w:r>
        <w:rPr>
          <w:rFonts w:hint="eastAsia" w:cs="宋体" w:asciiTheme="minorEastAsia" w:hAnsiTheme="minorEastAsia" w:eastAsiaTheme="minorEastAsia"/>
          <w:b/>
          <w:bCs/>
          <w:color w:val="auto"/>
          <w:kern w:val="0"/>
          <w:sz w:val="24"/>
          <w:u w:val="single"/>
          <w:lang w:val="en-US" w:eastAsia="zh-CN"/>
        </w:rPr>
        <w:t>19.13</w:t>
      </w:r>
      <w:r>
        <w:rPr>
          <w:rFonts w:hint="eastAsia" w:cs="宋体" w:asciiTheme="minorEastAsia" w:hAnsiTheme="minorEastAsia" w:eastAsiaTheme="minorEastAsia"/>
          <w:b/>
          <w:bCs/>
          <w:color w:val="auto"/>
          <w:kern w:val="0"/>
          <w:sz w:val="24"/>
          <w:u w:val="single"/>
        </w:rPr>
        <w:t>中标单位不得拒绝完成招标人在施工范围内变更或要求增加和减少的所有工程内容，否则招标人有权委托其他单位施工，且招标人有权在中标人当期支付工程款内直接按实际发生额双倍予以扣除。</w:t>
      </w:r>
    </w:p>
    <w:p w14:paraId="3E18AC24">
      <w:pPr>
        <w:autoSpaceDE w:val="0"/>
        <w:autoSpaceDN w:val="0"/>
        <w:adjustRightInd w:val="0"/>
        <w:spacing w:line="500" w:lineRule="exact"/>
        <w:ind w:firstLine="482" w:firstLineChars="200"/>
        <w:rPr>
          <w:rFonts w:hint="default" w:cs="宋体" w:asciiTheme="minorEastAsia" w:hAnsiTheme="minorEastAsia" w:eastAsiaTheme="minorEastAsia"/>
          <w:b/>
          <w:bCs/>
          <w:color w:val="auto"/>
          <w:kern w:val="0"/>
          <w:sz w:val="24"/>
          <w:u w:val="single"/>
          <w:lang w:val="en-US" w:eastAsia="zh-CN"/>
        </w:rPr>
      </w:pPr>
      <w:r>
        <w:rPr>
          <w:rFonts w:hint="eastAsia" w:cs="宋体" w:asciiTheme="minorEastAsia" w:hAnsiTheme="minorEastAsia" w:eastAsiaTheme="minorEastAsia"/>
          <w:b/>
          <w:bCs/>
          <w:color w:val="auto"/>
          <w:kern w:val="0"/>
          <w:sz w:val="24"/>
          <w:u w:val="single"/>
          <w:lang w:val="en-US" w:eastAsia="zh-CN"/>
        </w:rPr>
        <w:t>19.14</w:t>
      </w:r>
      <w:r>
        <w:rPr>
          <w:rFonts w:hint="eastAsia" w:ascii="宋体" w:hAnsi="宋体" w:cs="宋体"/>
          <w:b/>
          <w:bCs/>
          <w:color w:val="auto"/>
          <w:sz w:val="24"/>
          <w:u w:val="single"/>
        </w:rPr>
        <w:t>施工现场的材料堆放要整齐，机械停放有序，做到工完料清；遵守环境卫生管理的有关规定，符合清洁卫生要求；定期地将所有建筑垃圾从施工场地清除，并运出场外；交工前，将所有剩余的建筑材料运走或运至指定地点堆放，将所有施工机械和设备从施工场地运走。上述费用包含在投标报价中。</w:t>
      </w:r>
    </w:p>
    <w:p w14:paraId="3BF2EF38">
      <w:pPr>
        <w:spacing w:line="440" w:lineRule="exact"/>
        <w:ind w:firstLine="482" w:firstLineChars="200"/>
        <w:rPr>
          <w:rFonts w:hint="eastAsia" w:ascii="宋体" w:hAnsi="宋体" w:cs="宋体"/>
          <w:b/>
          <w:bCs/>
          <w:color w:val="auto"/>
          <w:sz w:val="24"/>
          <w:u w:val="single"/>
        </w:rPr>
      </w:pPr>
      <w:r>
        <w:rPr>
          <w:rFonts w:hint="eastAsia" w:ascii="宋体" w:hAnsi="宋体" w:cs="宋体"/>
          <w:b/>
          <w:bCs/>
          <w:color w:val="auto"/>
          <w:sz w:val="24"/>
          <w:u w:val="single"/>
        </w:rPr>
        <w:t>19.15施工过程中所需的垂直运输费、脚手架费用等措施费用由投标人自行考虑，其费用列入投标报价，工程结算时不作调整。</w:t>
      </w:r>
    </w:p>
    <w:p w14:paraId="18A0730E">
      <w:pPr>
        <w:spacing w:line="440" w:lineRule="exact"/>
        <w:ind w:firstLine="482" w:firstLineChars="200"/>
        <w:rPr>
          <w:rFonts w:hint="eastAsia" w:ascii="宋体" w:hAnsi="宋体" w:cs="宋体"/>
          <w:b/>
          <w:bCs/>
          <w:color w:val="auto"/>
          <w:sz w:val="24"/>
          <w:u w:val="single"/>
        </w:rPr>
      </w:pPr>
      <w:r>
        <w:rPr>
          <w:rFonts w:hint="eastAsia" w:ascii="宋体" w:hAnsi="宋体" w:cs="宋体"/>
          <w:b/>
          <w:bCs/>
          <w:color w:val="auto"/>
          <w:sz w:val="24"/>
          <w:u w:val="single"/>
        </w:rPr>
        <w:t>19.16中标人在施工过程中必须收集隐蔽项目关键部位的影像视频资料以供后期审计使用，在送审结算资料时必须一并提交。所有签证资料必须附有详细影像彩色照片，所摄照片必须有可参照物。如影像资料未能反映签证、清单或招标文件列明的工作内容，则结算时该项内容不予认可。</w:t>
      </w:r>
    </w:p>
    <w:p w14:paraId="51A05926">
      <w:pPr>
        <w:spacing w:line="440" w:lineRule="exact"/>
        <w:ind w:firstLine="482" w:firstLineChars="200"/>
        <w:rPr>
          <w:rFonts w:hint="eastAsia" w:ascii="宋体" w:hAnsi="宋体" w:cs="宋体"/>
          <w:b/>
          <w:bCs/>
          <w:color w:val="auto"/>
          <w:sz w:val="24"/>
          <w:u w:val="single"/>
        </w:rPr>
      </w:pPr>
      <w:r>
        <w:rPr>
          <w:rFonts w:hint="eastAsia" w:ascii="宋体" w:hAnsi="宋体" w:cs="宋体"/>
          <w:b/>
          <w:bCs/>
          <w:color w:val="auto"/>
          <w:sz w:val="24"/>
          <w:u w:val="single"/>
        </w:rPr>
        <w:t>19.17投标人中标后应根据国家、省、市、工程所在地政府及相关部门的规定缴纳有关费用，该费用包含在报价中，招标人不另行给付，费用缴纳的标准投标人可向有关部门查询。</w:t>
      </w:r>
    </w:p>
    <w:p w14:paraId="3C73D63F">
      <w:pPr>
        <w:spacing w:line="440" w:lineRule="exact"/>
        <w:ind w:firstLine="482" w:firstLineChars="200"/>
        <w:rPr>
          <w:rFonts w:hint="eastAsia" w:ascii="宋体" w:hAnsi="宋体" w:cs="宋体"/>
          <w:b/>
          <w:bCs/>
          <w:color w:val="auto"/>
          <w:sz w:val="24"/>
          <w:u w:val="single"/>
        </w:rPr>
      </w:pPr>
      <w:r>
        <w:rPr>
          <w:rFonts w:hint="eastAsia" w:ascii="宋体" w:hAnsi="宋体" w:cs="宋体"/>
          <w:b/>
          <w:bCs/>
          <w:color w:val="auto"/>
          <w:sz w:val="24"/>
          <w:u w:val="single"/>
        </w:rPr>
        <w:t>19.</w:t>
      </w:r>
      <w:r>
        <w:rPr>
          <w:rFonts w:hint="eastAsia" w:ascii="宋体" w:hAnsi="宋体" w:cs="宋体"/>
          <w:b/>
          <w:bCs/>
          <w:color w:val="auto"/>
          <w:sz w:val="24"/>
          <w:u w:val="single"/>
          <w:lang w:val="en-US" w:eastAsia="zh-CN"/>
        </w:rPr>
        <w:t>18</w:t>
      </w:r>
      <w:r>
        <w:rPr>
          <w:rFonts w:hint="eastAsia" w:ascii="宋体" w:hAnsi="宋体" w:cs="宋体"/>
          <w:b/>
          <w:bCs/>
          <w:color w:val="auto"/>
          <w:sz w:val="24"/>
          <w:u w:val="single"/>
        </w:rPr>
        <w:t>本招标文件、图纸及合同文件对同一事项约定有不一致处，以要求较高者或招标人指令为准。招标工程量清单项目特征中未作明确的部分，投标人应结合招标图纸中的技术、参数、要求结合阅读理解，并在投标报价中充分考虑。工程结算时，不因图纸中的要求或技术标准在项目特征中未作明确而提出相关的费用调整。</w:t>
      </w:r>
    </w:p>
    <w:p w14:paraId="166C824E">
      <w:pPr>
        <w:spacing w:line="440" w:lineRule="exact"/>
        <w:ind w:firstLine="482" w:firstLineChars="200"/>
        <w:rPr>
          <w:rFonts w:hint="eastAsia" w:ascii="宋体" w:hAnsi="宋体" w:cs="宋体"/>
          <w:b/>
          <w:bCs/>
          <w:color w:val="auto"/>
          <w:sz w:val="24"/>
          <w:u w:val="single"/>
        </w:rPr>
      </w:pPr>
      <w:r>
        <w:rPr>
          <w:rFonts w:hint="eastAsia" w:ascii="宋体" w:hAnsi="宋体" w:cs="宋体"/>
          <w:b/>
          <w:bCs/>
          <w:color w:val="auto"/>
          <w:sz w:val="24"/>
          <w:u w:val="single"/>
        </w:rPr>
        <w:t>19.</w:t>
      </w:r>
      <w:r>
        <w:rPr>
          <w:rFonts w:hint="eastAsia" w:ascii="宋体" w:hAnsi="宋体" w:cs="宋体"/>
          <w:b/>
          <w:bCs/>
          <w:color w:val="auto"/>
          <w:sz w:val="24"/>
          <w:u w:val="single"/>
          <w:lang w:val="en-US" w:eastAsia="zh-CN"/>
        </w:rPr>
        <w:t>19</w:t>
      </w:r>
      <w:r>
        <w:rPr>
          <w:rFonts w:hint="eastAsia" w:ascii="宋体" w:hAnsi="宋体" w:cs="宋体"/>
          <w:b/>
          <w:bCs/>
          <w:color w:val="auto"/>
          <w:sz w:val="24"/>
          <w:u w:val="single"/>
        </w:rPr>
        <w:t>招标工程量清单项目特征无法详细全面的描述招标文件、图纸及技术文件上的全部信息及参数要求，承包人应充分复核与校对，不得因招标工程量清单项目特征描述不全面而要求调整综合单价</w:t>
      </w:r>
    </w:p>
    <w:p w14:paraId="61D061DE">
      <w:pPr>
        <w:spacing w:line="440" w:lineRule="exact"/>
        <w:ind w:firstLine="482" w:firstLineChars="200"/>
        <w:rPr>
          <w:rFonts w:hint="eastAsia" w:ascii="宋体" w:hAnsi="宋体" w:cs="宋体"/>
          <w:b/>
          <w:bCs/>
          <w:color w:val="auto"/>
          <w:sz w:val="24"/>
          <w:u w:val="single"/>
        </w:rPr>
      </w:pPr>
      <w:r>
        <w:rPr>
          <w:rFonts w:hint="eastAsia" w:ascii="宋体" w:hAnsi="宋体" w:cs="宋体"/>
          <w:b/>
          <w:bCs/>
          <w:color w:val="auto"/>
          <w:sz w:val="24"/>
          <w:u w:val="single"/>
        </w:rPr>
        <w:t>19.</w:t>
      </w:r>
      <w:r>
        <w:rPr>
          <w:rFonts w:hint="eastAsia" w:ascii="宋体" w:hAnsi="宋体" w:cs="宋体"/>
          <w:b/>
          <w:bCs/>
          <w:color w:val="auto"/>
          <w:sz w:val="24"/>
          <w:u w:val="single"/>
          <w:lang w:val="en-US" w:eastAsia="zh-CN"/>
        </w:rPr>
        <w:t>20</w:t>
      </w:r>
      <w:r>
        <w:rPr>
          <w:rFonts w:hint="eastAsia" w:ascii="宋体" w:hAnsi="宋体" w:cs="宋体"/>
          <w:b/>
          <w:bCs/>
          <w:color w:val="auto"/>
          <w:sz w:val="24"/>
          <w:u w:val="single"/>
        </w:rPr>
        <w:t>投标人应在投标报价中根据自身管理水平，材料采购及机械配备等因素，考虑实际可抵扣进项税，合理确定增值税应纳税额进行自主报价。</w:t>
      </w:r>
    </w:p>
    <w:p w14:paraId="7441C650">
      <w:pPr>
        <w:spacing w:line="440" w:lineRule="exact"/>
        <w:ind w:firstLine="482" w:firstLineChars="200"/>
        <w:rPr>
          <w:rFonts w:hint="eastAsia" w:ascii="宋体" w:hAnsi="宋体" w:cs="宋体"/>
          <w:b/>
          <w:bCs/>
          <w:color w:val="auto"/>
          <w:sz w:val="24"/>
          <w:u w:val="single"/>
        </w:rPr>
      </w:pPr>
      <w:r>
        <w:rPr>
          <w:rFonts w:hint="eastAsia" w:ascii="宋体" w:hAnsi="宋体" w:cs="宋体"/>
          <w:b/>
          <w:bCs/>
          <w:color w:val="auto"/>
          <w:sz w:val="24"/>
          <w:u w:val="single"/>
        </w:rPr>
        <w:t>19.2</w:t>
      </w:r>
      <w:r>
        <w:rPr>
          <w:rFonts w:hint="eastAsia" w:ascii="宋体" w:hAnsi="宋体" w:cs="宋体"/>
          <w:b/>
          <w:bCs/>
          <w:color w:val="auto"/>
          <w:sz w:val="24"/>
          <w:u w:val="single"/>
          <w:lang w:val="en-US" w:eastAsia="zh-CN"/>
        </w:rPr>
        <w:t>1</w:t>
      </w:r>
      <w:r>
        <w:rPr>
          <w:rFonts w:hint="eastAsia" w:ascii="宋体" w:hAnsi="宋体" w:cs="宋体"/>
          <w:b/>
          <w:bCs/>
          <w:color w:val="auto"/>
          <w:sz w:val="24"/>
          <w:u w:val="single"/>
        </w:rPr>
        <w:t>中标人施工过程中若使用业主设施，须征得业主及招标人同意，并承担相应费用。</w:t>
      </w:r>
    </w:p>
    <w:p w14:paraId="66D4DE3A">
      <w:pPr>
        <w:spacing w:line="440" w:lineRule="exact"/>
        <w:ind w:firstLine="482" w:firstLineChars="200"/>
        <w:rPr>
          <w:rFonts w:hint="eastAsia" w:ascii="宋体" w:hAnsi="宋体" w:cs="宋体"/>
          <w:b/>
          <w:bCs/>
          <w:color w:val="auto"/>
          <w:sz w:val="24"/>
          <w:u w:val="single"/>
        </w:rPr>
      </w:pPr>
      <w:r>
        <w:rPr>
          <w:rFonts w:hint="eastAsia" w:ascii="宋体" w:hAnsi="宋体" w:cs="宋体"/>
          <w:b/>
          <w:bCs/>
          <w:color w:val="auto"/>
          <w:sz w:val="24"/>
          <w:u w:val="single"/>
        </w:rPr>
        <w:t>19.2</w:t>
      </w:r>
      <w:r>
        <w:rPr>
          <w:rFonts w:hint="eastAsia" w:ascii="宋体" w:hAnsi="宋体" w:cs="宋体"/>
          <w:b/>
          <w:bCs/>
          <w:color w:val="auto"/>
          <w:sz w:val="24"/>
          <w:u w:val="single"/>
          <w:lang w:val="en-US" w:eastAsia="zh-CN"/>
        </w:rPr>
        <w:t>2</w:t>
      </w:r>
      <w:r>
        <w:rPr>
          <w:rFonts w:hint="eastAsia" w:ascii="宋体" w:hAnsi="宋体" w:cs="宋体"/>
          <w:b/>
          <w:bCs/>
          <w:color w:val="auto"/>
          <w:sz w:val="24"/>
          <w:u w:val="single"/>
        </w:rPr>
        <w:t>本工程在施工时必须采取一定的防尘措施，所涉及的费用含在投标报价中。若施工过程中被环保等部门通报或处罚，则一切责任和费用由中标人承担。</w:t>
      </w:r>
    </w:p>
    <w:p w14:paraId="0CDDE6CF">
      <w:pPr>
        <w:spacing w:line="440" w:lineRule="exact"/>
        <w:ind w:firstLine="482" w:firstLineChars="200"/>
        <w:rPr>
          <w:rFonts w:hint="eastAsia" w:ascii="宋体" w:hAnsi="宋体" w:cs="宋体"/>
          <w:b/>
          <w:bCs/>
          <w:color w:val="auto"/>
          <w:sz w:val="24"/>
          <w:u w:val="single"/>
        </w:rPr>
      </w:pPr>
      <w:r>
        <w:rPr>
          <w:rFonts w:hint="eastAsia" w:ascii="宋体" w:hAnsi="宋体" w:cs="宋体"/>
          <w:b/>
          <w:bCs/>
          <w:color w:val="auto"/>
          <w:sz w:val="24"/>
          <w:u w:val="single"/>
        </w:rPr>
        <w:t>19.2</w:t>
      </w:r>
      <w:r>
        <w:rPr>
          <w:rFonts w:hint="eastAsia" w:ascii="宋体" w:hAnsi="宋体" w:cs="宋体"/>
          <w:b/>
          <w:bCs/>
          <w:color w:val="auto"/>
          <w:sz w:val="24"/>
          <w:u w:val="single"/>
          <w:lang w:val="en-US" w:eastAsia="zh-CN"/>
        </w:rPr>
        <w:t>3</w:t>
      </w:r>
      <w:r>
        <w:rPr>
          <w:rFonts w:hint="eastAsia" w:ascii="宋体" w:hAnsi="宋体" w:cs="宋体"/>
          <w:b/>
          <w:bCs/>
          <w:color w:val="auto"/>
          <w:sz w:val="24"/>
          <w:u w:val="single"/>
        </w:rPr>
        <w:t>中标人必须根据有关规定要求，及时对材料、设备、器械进行必要的试验、检测，同时须确保材料、设备、器械一次性通过检测。否则由此引起误工、返工而造成的材料、人工、机械、工期损失等一切费用全部由承包人承担，同时招标人保留对中标人进一步处罚的权利。</w:t>
      </w:r>
    </w:p>
    <w:p w14:paraId="5F99C1D0">
      <w:pPr>
        <w:spacing w:line="440" w:lineRule="exact"/>
        <w:ind w:firstLine="482" w:firstLineChars="200"/>
        <w:rPr>
          <w:rFonts w:hint="eastAsia" w:ascii="宋体" w:hAnsi="宋体" w:cs="宋体"/>
          <w:b/>
          <w:bCs/>
          <w:color w:val="auto"/>
          <w:sz w:val="24"/>
          <w:u w:val="single"/>
        </w:rPr>
      </w:pPr>
      <w:r>
        <w:rPr>
          <w:rFonts w:hint="eastAsia" w:ascii="宋体" w:hAnsi="宋体" w:cs="宋体"/>
          <w:b/>
          <w:bCs/>
          <w:color w:val="auto"/>
          <w:sz w:val="24"/>
          <w:u w:val="single"/>
        </w:rPr>
        <w:t>19.2</w:t>
      </w:r>
      <w:r>
        <w:rPr>
          <w:rFonts w:hint="eastAsia" w:ascii="宋体" w:hAnsi="宋体" w:cs="宋体"/>
          <w:b/>
          <w:bCs/>
          <w:color w:val="auto"/>
          <w:sz w:val="24"/>
          <w:u w:val="single"/>
          <w:lang w:val="en-US" w:eastAsia="zh-CN"/>
        </w:rPr>
        <w:t>4</w:t>
      </w:r>
      <w:r>
        <w:rPr>
          <w:rFonts w:hint="eastAsia" w:ascii="宋体" w:hAnsi="宋体" w:cs="宋体"/>
          <w:b/>
          <w:bCs/>
          <w:color w:val="auto"/>
          <w:sz w:val="24"/>
          <w:u w:val="single"/>
        </w:rPr>
        <w:t>承包人应承担工程质量检测中制作、封样、送检、检测等全部工作，试验检测机构由发包人指定，发包人派驻的现场代表和监理工程师负责见证取样。</w:t>
      </w:r>
    </w:p>
    <w:p w14:paraId="61277B99">
      <w:pPr>
        <w:spacing w:line="440" w:lineRule="exact"/>
        <w:ind w:firstLine="482" w:firstLineChars="200"/>
        <w:rPr>
          <w:rFonts w:hint="eastAsia" w:ascii="宋体" w:hAnsi="宋体" w:cs="宋体"/>
          <w:b/>
          <w:bCs/>
          <w:color w:val="auto"/>
          <w:sz w:val="24"/>
          <w:u w:val="single"/>
        </w:rPr>
      </w:pPr>
      <w:r>
        <w:rPr>
          <w:rFonts w:hint="eastAsia" w:ascii="宋体" w:hAnsi="宋体" w:cs="宋体"/>
          <w:b/>
          <w:bCs/>
          <w:color w:val="auto"/>
          <w:sz w:val="24"/>
          <w:u w:val="single"/>
        </w:rPr>
        <w:t>19.</w:t>
      </w:r>
      <w:r>
        <w:rPr>
          <w:rFonts w:hint="eastAsia" w:ascii="宋体" w:hAnsi="宋体" w:cs="宋体"/>
          <w:b/>
          <w:bCs/>
          <w:color w:val="auto"/>
          <w:sz w:val="24"/>
          <w:u w:val="single"/>
          <w:lang w:val="en-US" w:eastAsia="zh-CN"/>
        </w:rPr>
        <w:t>25</w:t>
      </w:r>
      <w:r>
        <w:rPr>
          <w:rFonts w:hint="eastAsia" w:ascii="宋体" w:hAnsi="宋体" w:cs="宋体"/>
          <w:b/>
          <w:bCs/>
          <w:color w:val="auto"/>
          <w:sz w:val="24"/>
          <w:u w:val="single"/>
        </w:rPr>
        <w:t>承包人必须服从发包人、监理工程师的管理监督，施工中发生的质量问题必须及时整改，因承包人原因被责令停工和返工，所造成的一切损失由承包人负责。</w:t>
      </w:r>
    </w:p>
    <w:p w14:paraId="61E28EB7">
      <w:pPr>
        <w:spacing w:line="440" w:lineRule="exact"/>
        <w:ind w:firstLine="482" w:firstLineChars="200"/>
        <w:rPr>
          <w:rFonts w:hint="eastAsia" w:ascii="宋体" w:hAnsi="宋体" w:cs="宋体"/>
          <w:b/>
          <w:bCs/>
          <w:color w:val="auto"/>
          <w:sz w:val="24"/>
          <w:u w:val="single"/>
        </w:rPr>
      </w:pPr>
      <w:r>
        <w:rPr>
          <w:rFonts w:hint="eastAsia" w:ascii="宋体" w:hAnsi="宋体" w:cs="宋体"/>
          <w:b/>
          <w:bCs/>
          <w:color w:val="auto"/>
          <w:sz w:val="24"/>
          <w:u w:val="single"/>
        </w:rPr>
        <w:t>19.</w:t>
      </w:r>
      <w:r>
        <w:rPr>
          <w:rFonts w:hint="eastAsia" w:ascii="宋体" w:hAnsi="宋体" w:cs="宋体"/>
          <w:b/>
          <w:bCs/>
          <w:color w:val="auto"/>
          <w:sz w:val="24"/>
          <w:u w:val="single"/>
          <w:lang w:val="en-US" w:eastAsia="zh-CN"/>
        </w:rPr>
        <w:t>26</w:t>
      </w:r>
      <w:r>
        <w:rPr>
          <w:rFonts w:hint="eastAsia" w:ascii="宋体" w:hAnsi="宋体" w:cs="宋体"/>
          <w:b/>
          <w:bCs/>
          <w:color w:val="auto"/>
          <w:sz w:val="24"/>
          <w:u w:val="single"/>
        </w:rPr>
        <w:t>报价书中的工程数量乘以综合单价必须等于合价，如有误差结算时以综合单价金额小的为计算依据。</w:t>
      </w:r>
    </w:p>
    <w:p w14:paraId="49845593">
      <w:pPr>
        <w:spacing w:line="440" w:lineRule="exact"/>
        <w:ind w:firstLine="482" w:firstLineChars="200"/>
        <w:rPr>
          <w:rFonts w:hint="eastAsia" w:ascii="宋体" w:hAnsi="宋体" w:cs="宋体"/>
          <w:b/>
          <w:bCs/>
          <w:color w:val="auto"/>
          <w:sz w:val="24"/>
          <w:u w:val="single"/>
        </w:rPr>
      </w:pPr>
      <w:r>
        <w:rPr>
          <w:rFonts w:hint="eastAsia" w:ascii="宋体" w:hAnsi="宋体" w:cs="宋体"/>
          <w:b/>
          <w:bCs/>
          <w:color w:val="auto"/>
          <w:sz w:val="24"/>
          <w:u w:val="single"/>
        </w:rPr>
        <w:t>19.</w:t>
      </w:r>
      <w:r>
        <w:rPr>
          <w:rFonts w:hint="eastAsia" w:ascii="宋体" w:hAnsi="宋体" w:cs="宋体"/>
          <w:b/>
          <w:bCs/>
          <w:color w:val="auto"/>
          <w:sz w:val="24"/>
          <w:u w:val="single"/>
          <w:lang w:val="en-US" w:eastAsia="zh-CN"/>
        </w:rPr>
        <w:t>27</w:t>
      </w:r>
      <w:r>
        <w:rPr>
          <w:rFonts w:hint="eastAsia" w:ascii="宋体" w:hAnsi="宋体" w:cs="宋体"/>
          <w:b/>
          <w:bCs/>
          <w:color w:val="auto"/>
          <w:sz w:val="24"/>
          <w:u w:val="single"/>
        </w:rPr>
        <w:t>其他未尽事宜在书面答疑及合同条款中明确。</w:t>
      </w:r>
    </w:p>
    <w:p w14:paraId="56AA2E51">
      <w:pPr>
        <w:spacing w:line="440" w:lineRule="exact"/>
        <w:ind w:firstLine="482" w:firstLineChars="200"/>
        <w:jc w:val="center"/>
        <w:rPr>
          <w:rFonts w:ascii="宋体" w:hAnsi="宋体"/>
          <w:b/>
          <w:color w:val="auto"/>
          <w:sz w:val="24"/>
        </w:rPr>
      </w:pPr>
    </w:p>
    <w:p w14:paraId="424AC2F0">
      <w:pPr>
        <w:spacing w:line="440" w:lineRule="exact"/>
        <w:ind w:firstLine="482" w:firstLineChars="200"/>
        <w:jc w:val="center"/>
        <w:rPr>
          <w:rFonts w:ascii="宋体" w:hAnsi="宋体"/>
          <w:b/>
          <w:color w:val="auto"/>
          <w:sz w:val="24"/>
        </w:rPr>
      </w:pPr>
      <w:r>
        <w:rPr>
          <w:rFonts w:ascii="宋体" w:hAnsi="宋体"/>
          <w:b/>
          <w:color w:val="auto"/>
          <w:sz w:val="24"/>
        </w:rPr>
        <w:t>(五) 投标文件的密封和递交</w:t>
      </w:r>
    </w:p>
    <w:p w14:paraId="65E72327">
      <w:pPr>
        <w:spacing w:line="500" w:lineRule="exact"/>
        <w:ind w:firstLine="480"/>
        <w:rPr>
          <w:rFonts w:asciiTheme="minorEastAsia" w:hAnsiTheme="minorEastAsia" w:eastAsiaTheme="minorEastAsia"/>
          <w:color w:val="auto"/>
          <w:sz w:val="24"/>
        </w:rPr>
      </w:pPr>
      <w:r>
        <w:rPr>
          <w:rFonts w:hint="eastAsia" w:asciiTheme="minorEastAsia" w:hAnsiTheme="minorEastAsia" w:eastAsiaTheme="minorEastAsia"/>
          <w:color w:val="auto"/>
          <w:sz w:val="24"/>
        </w:rPr>
        <w:t>20</w:t>
      </w:r>
      <w:r>
        <w:rPr>
          <w:rFonts w:asciiTheme="minorEastAsia" w:hAnsiTheme="minorEastAsia" w:eastAsiaTheme="minorEastAsia"/>
          <w:color w:val="auto"/>
          <w:sz w:val="24"/>
        </w:rPr>
        <w:t>、投标文件的密封与标志</w:t>
      </w:r>
    </w:p>
    <w:p w14:paraId="49D756EA">
      <w:pPr>
        <w:spacing w:line="360" w:lineRule="auto"/>
        <w:ind w:firstLine="480"/>
        <w:rPr>
          <w:rFonts w:asciiTheme="minorEastAsia" w:hAnsiTheme="minorEastAsia" w:eastAsiaTheme="minorEastAsia"/>
          <w:color w:val="auto"/>
          <w:sz w:val="24"/>
          <w:u w:val="single"/>
        </w:rPr>
      </w:pPr>
      <w:r>
        <w:rPr>
          <w:rFonts w:hint="eastAsia" w:asciiTheme="minorEastAsia" w:hAnsiTheme="minorEastAsia" w:eastAsiaTheme="minorEastAsia"/>
          <w:b/>
          <w:bCs/>
          <w:color w:val="auto"/>
          <w:sz w:val="24"/>
        </w:rPr>
        <w:t>投标人应准备的投标文件：资格审查资料正本</w:t>
      </w:r>
      <w:r>
        <w:rPr>
          <w:rFonts w:hint="eastAsia" w:asciiTheme="minorEastAsia" w:hAnsiTheme="minorEastAsia" w:eastAsiaTheme="minorEastAsia"/>
          <w:b/>
          <w:bCs/>
          <w:color w:val="auto"/>
          <w:sz w:val="24"/>
          <w:u w:val="single"/>
        </w:rPr>
        <w:t xml:space="preserve"> 壹 </w:t>
      </w:r>
      <w:r>
        <w:rPr>
          <w:rFonts w:hint="eastAsia" w:asciiTheme="minorEastAsia" w:hAnsiTheme="minorEastAsia" w:eastAsiaTheme="minorEastAsia"/>
          <w:b/>
          <w:bCs/>
          <w:color w:val="auto"/>
          <w:sz w:val="24"/>
        </w:rPr>
        <w:t>份、副本</w:t>
      </w:r>
      <w:r>
        <w:rPr>
          <w:rFonts w:hint="eastAsia" w:asciiTheme="minorEastAsia" w:hAnsiTheme="minorEastAsia" w:eastAsiaTheme="minorEastAsia"/>
          <w:b/>
          <w:bCs/>
          <w:color w:val="auto"/>
          <w:sz w:val="24"/>
          <w:u w:val="single"/>
        </w:rPr>
        <w:t>贰</w:t>
      </w:r>
      <w:r>
        <w:rPr>
          <w:rFonts w:hint="eastAsia" w:asciiTheme="minorEastAsia" w:hAnsiTheme="minorEastAsia" w:eastAsiaTheme="minorEastAsia"/>
          <w:b/>
          <w:bCs/>
          <w:color w:val="auto"/>
          <w:sz w:val="24"/>
        </w:rPr>
        <w:t>份，商务标正本</w:t>
      </w:r>
      <w:r>
        <w:rPr>
          <w:rFonts w:hint="eastAsia" w:asciiTheme="minorEastAsia" w:hAnsiTheme="minorEastAsia" w:eastAsiaTheme="minorEastAsia"/>
          <w:b/>
          <w:bCs/>
          <w:color w:val="auto"/>
          <w:sz w:val="24"/>
          <w:u w:val="single"/>
        </w:rPr>
        <w:t xml:space="preserve"> 壹 </w:t>
      </w:r>
      <w:r>
        <w:rPr>
          <w:rFonts w:hint="eastAsia" w:asciiTheme="minorEastAsia" w:hAnsiTheme="minorEastAsia" w:eastAsiaTheme="minorEastAsia"/>
          <w:b/>
          <w:bCs/>
          <w:color w:val="auto"/>
          <w:sz w:val="24"/>
        </w:rPr>
        <w:t>份、副本</w:t>
      </w:r>
      <w:r>
        <w:rPr>
          <w:rFonts w:hint="eastAsia" w:asciiTheme="minorEastAsia" w:hAnsiTheme="minorEastAsia" w:eastAsiaTheme="minorEastAsia"/>
          <w:b/>
          <w:bCs/>
          <w:color w:val="auto"/>
          <w:sz w:val="24"/>
          <w:u w:val="single"/>
        </w:rPr>
        <w:t>贰</w:t>
      </w:r>
      <w:r>
        <w:rPr>
          <w:rFonts w:hint="eastAsia" w:asciiTheme="minorEastAsia" w:hAnsiTheme="minorEastAsia" w:eastAsiaTheme="minorEastAsia"/>
          <w:b/>
          <w:bCs/>
          <w:color w:val="auto"/>
          <w:sz w:val="24"/>
        </w:rPr>
        <w:t>份，并标明</w:t>
      </w:r>
      <w:r>
        <w:rPr>
          <w:rFonts w:hint="eastAsia" w:asciiTheme="minorEastAsia" w:hAnsiTheme="minorEastAsia" w:eastAsiaTheme="minorEastAsia"/>
          <w:b/>
          <w:bCs/>
          <w:color w:val="auto"/>
          <w:sz w:val="24"/>
          <w:u w:val="single"/>
        </w:rPr>
        <w:t>“正本”或“副本”字样</w:t>
      </w:r>
      <w:r>
        <w:rPr>
          <w:rFonts w:hint="eastAsia" w:asciiTheme="minorEastAsia" w:hAnsiTheme="minorEastAsia" w:eastAsiaTheme="minorEastAsia"/>
          <w:color w:val="auto"/>
          <w:sz w:val="24"/>
          <w:u w:val="single"/>
        </w:rPr>
        <w:t>。</w:t>
      </w:r>
    </w:p>
    <w:p w14:paraId="5ADE2542">
      <w:pPr>
        <w:spacing w:line="500" w:lineRule="exact"/>
        <w:ind w:firstLine="480"/>
        <w:rPr>
          <w:rFonts w:asciiTheme="minorEastAsia" w:hAnsiTheme="minorEastAsia" w:eastAsiaTheme="minorEastAsia"/>
          <w:b/>
          <w:color w:val="auto"/>
          <w:sz w:val="24"/>
        </w:rPr>
      </w:pPr>
      <w:r>
        <w:rPr>
          <w:rFonts w:hint="eastAsia" w:asciiTheme="minorEastAsia" w:hAnsiTheme="minorEastAsia" w:eastAsiaTheme="minorEastAsia"/>
          <w:b/>
          <w:color w:val="auto"/>
          <w:sz w:val="24"/>
        </w:rPr>
        <w:t>20.1本工程采用价格单因素评标办法，投标文件（</w:t>
      </w:r>
      <w:r>
        <w:rPr>
          <w:rFonts w:hint="eastAsia" w:asciiTheme="minorEastAsia" w:hAnsiTheme="minorEastAsia" w:eastAsiaTheme="minorEastAsia"/>
          <w:b/>
          <w:bCs/>
          <w:color w:val="auto"/>
          <w:sz w:val="24"/>
        </w:rPr>
        <w:t>资格审查资料包</w:t>
      </w:r>
      <w:r>
        <w:rPr>
          <w:rFonts w:hint="eastAsia" w:asciiTheme="minorEastAsia" w:hAnsiTheme="minorEastAsia" w:eastAsiaTheme="minorEastAsia"/>
          <w:b/>
          <w:color w:val="auto"/>
          <w:sz w:val="24"/>
        </w:rPr>
        <w:t>）、投标文件（商务标）应分别密封，另须在封袋上标明 “</w:t>
      </w:r>
      <w:r>
        <w:rPr>
          <w:rFonts w:hint="eastAsia" w:asciiTheme="minorEastAsia" w:hAnsiTheme="minorEastAsia" w:eastAsiaTheme="minorEastAsia"/>
          <w:b/>
          <w:bCs/>
          <w:color w:val="auto"/>
          <w:sz w:val="24"/>
        </w:rPr>
        <w:t>资格审查资料包</w:t>
      </w:r>
      <w:r>
        <w:rPr>
          <w:rFonts w:hint="eastAsia" w:asciiTheme="minorEastAsia" w:hAnsiTheme="minorEastAsia" w:eastAsiaTheme="minorEastAsia"/>
          <w:b/>
          <w:color w:val="auto"/>
          <w:sz w:val="24"/>
        </w:rPr>
        <w:t>”或 “商务标”，同时还要在封袋写明招标人名称、工程名称及投标人名称。</w:t>
      </w:r>
    </w:p>
    <w:p w14:paraId="4C76B50E">
      <w:pPr>
        <w:spacing w:line="500" w:lineRule="exact"/>
        <w:ind w:firstLine="465"/>
        <w:rPr>
          <w:rFonts w:asciiTheme="minorEastAsia" w:hAnsiTheme="minorEastAsia" w:eastAsiaTheme="minorEastAsia"/>
          <w:color w:val="auto"/>
          <w:sz w:val="24"/>
        </w:rPr>
      </w:pPr>
      <w:r>
        <w:rPr>
          <w:rFonts w:hint="eastAsia" w:asciiTheme="minorEastAsia" w:hAnsiTheme="minorEastAsia" w:eastAsiaTheme="minorEastAsia"/>
          <w:color w:val="auto"/>
          <w:sz w:val="24"/>
        </w:rPr>
        <w:t>20.2</w:t>
      </w:r>
      <w:r>
        <w:rPr>
          <w:rFonts w:asciiTheme="minorEastAsia" w:hAnsiTheme="minorEastAsia" w:eastAsiaTheme="minorEastAsia"/>
          <w:b/>
          <w:snapToGrid w:val="0"/>
          <w:color w:val="auto"/>
          <w:kern w:val="0"/>
          <w:sz w:val="24"/>
        </w:rPr>
        <w:t>投标人可将</w:t>
      </w:r>
      <w:r>
        <w:rPr>
          <w:rFonts w:hint="eastAsia" w:asciiTheme="minorEastAsia" w:hAnsiTheme="minorEastAsia" w:eastAsiaTheme="minorEastAsia"/>
          <w:b/>
          <w:snapToGrid w:val="0"/>
          <w:color w:val="auto"/>
          <w:kern w:val="0"/>
          <w:sz w:val="24"/>
        </w:rPr>
        <w:t>“</w:t>
      </w:r>
      <w:r>
        <w:rPr>
          <w:rFonts w:hint="eastAsia" w:asciiTheme="minorEastAsia" w:hAnsiTheme="minorEastAsia" w:eastAsiaTheme="minorEastAsia"/>
          <w:b/>
          <w:bCs/>
          <w:color w:val="auto"/>
          <w:sz w:val="24"/>
        </w:rPr>
        <w:t>资格审查资料</w:t>
      </w:r>
      <w:r>
        <w:rPr>
          <w:rFonts w:hint="eastAsia" w:asciiTheme="minorEastAsia" w:hAnsiTheme="minorEastAsia" w:eastAsiaTheme="minorEastAsia"/>
          <w:b/>
          <w:snapToGrid w:val="0"/>
          <w:color w:val="auto"/>
          <w:kern w:val="0"/>
          <w:sz w:val="24"/>
        </w:rPr>
        <w:t>”</w:t>
      </w:r>
      <w:r>
        <w:rPr>
          <w:rFonts w:asciiTheme="minorEastAsia" w:hAnsiTheme="minorEastAsia" w:eastAsiaTheme="minorEastAsia"/>
          <w:b/>
          <w:snapToGrid w:val="0"/>
          <w:color w:val="auto"/>
          <w:kern w:val="0"/>
          <w:sz w:val="24"/>
        </w:rPr>
        <w:t>正本、</w:t>
      </w:r>
      <w:r>
        <w:rPr>
          <w:rFonts w:hint="eastAsia" w:asciiTheme="minorEastAsia" w:hAnsiTheme="minorEastAsia" w:eastAsiaTheme="minorEastAsia"/>
          <w:b/>
          <w:snapToGrid w:val="0"/>
          <w:color w:val="auto"/>
          <w:kern w:val="0"/>
          <w:sz w:val="24"/>
        </w:rPr>
        <w:t>副</w:t>
      </w:r>
      <w:r>
        <w:rPr>
          <w:rFonts w:asciiTheme="minorEastAsia" w:hAnsiTheme="minorEastAsia" w:eastAsiaTheme="minorEastAsia"/>
          <w:b/>
          <w:snapToGrid w:val="0"/>
          <w:color w:val="auto"/>
          <w:kern w:val="0"/>
          <w:sz w:val="24"/>
        </w:rPr>
        <w:t>本</w:t>
      </w:r>
      <w:r>
        <w:rPr>
          <w:rFonts w:hint="eastAsia" w:asciiTheme="minorEastAsia" w:hAnsiTheme="minorEastAsia" w:eastAsiaTheme="minorEastAsia"/>
          <w:b/>
          <w:color w:val="auto"/>
          <w:sz w:val="24"/>
        </w:rPr>
        <w:t>或“商务标”</w:t>
      </w:r>
      <w:r>
        <w:rPr>
          <w:rFonts w:asciiTheme="minorEastAsia" w:hAnsiTheme="minorEastAsia" w:eastAsiaTheme="minorEastAsia"/>
          <w:b/>
          <w:snapToGrid w:val="0"/>
          <w:color w:val="auto"/>
          <w:kern w:val="0"/>
          <w:sz w:val="24"/>
        </w:rPr>
        <w:t>正本、</w:t>
      </w:r>
      <w:r>
        <w:rPr>
          <w:rFonts w:hint="eastAsia" w:asciiTheme="minorEastAsia" w:hAnsiTheme="minorEastAsia" w:eastAsiaTheme="minorEastAsia"/>
          <w:b/>
          <w:snapToGrid w:val="0"/>
          <w:color w:val="auto"/>
          <w:kern w:val="0"/>
          <w:sz w:val="24"/>
        </w:rPr>
        <w:t>副</w:t>
      </w:r>
      <w:r>
        <w:rPr>
          <w:rFonts w:asciiTheme="minorEastAsia" w:hAnsiTheme="minorEastAsia" w:eastAsiaTheme="minorEastAsia"/>
          <w:b/>
          <w:snapToGrid w:val="0"/>
          <w:color w:val="auto"/>
          <w:kern w:val="0"/>
          <w:sz w:val="24"/>
        </w:rPr>
        <w:t>本统一密封于一个密封袋。</w:t>
      </w:r>
      <w:r>
        <w:rPr>
          <w:rFonts w:hint="eastAsia" w:asciiTheme="minorEastAsia" w:hAnsiTheme="minorEastAsia" w:eastAsiaTheme="minorEastAsia"/>
          <w:b/>
          <w:snapToGrid w:val="0"/>
          <w:color w:val="auto"/>
          <w:kern w:val="0"/>
          <w:sz w:val="24"/>
        </w:rPr>
        <w:t>如正本和副本分别密封的，应在封袋上标明“</w:t>
      </w:r>
      <w:r>
        <w:rPr>
          <w:rFonts w:asciiTheme="minorEastAsia" w:hAnsiTheme="minorEastAsia" w:eastAsiaTheme="minorEastAsia"/>
          <w:b/>
          <w:snapToGrid w:val="0"/>
          <w:color w:val="auto"/>
          <w:kern w:val="0"/>
          <w:sz w:val="24"/>
        </w:rPr>
        <w:t>正本</w:t>
      </w:r>
      <w:r>
        <w:rPr>
          <w:rFonts w:hint="eastAsia" w:asciiTheme="minorEastAsia" w:hAnsiTheme="minorEastAsia" w:eastAsiaTheme="minorEastAsia"/>
          <w:b/>
          <w:snapToGrid w:val="0"/>
          <w:color w:val="auto"/>
          <w:kern w:val="0"/>
          <w:sz w:val="24"/>
        </w:rPr>
        <w:t>”、</w:t>
      </w:r>
      <w:r>
        <w:rPr>
          <w:rFonts w:asciiTheme="minorEastAsia" w:hAnsiTheme="minorEastAsia" w:eastAsiaTheme="minorEastAsia"/>
          <w:b/>
          <w:snapToGrid w:val="0"/>
          <w:color w:val="auto"/>
          <w:kern w:val="0"/>
          <w:sz w:val="24"/>
        </w:rPr>
        <w:t>“</w:t>
      </w:r>
      <w:r>
        <w:rPr>
          <w:rFonts w:hint="eastAsia" w:asciiTheme="minorEastAsia" w:hAnsiTheme="minorEastAsia" w:eastAsiaTheme="minorEastAsia"/>
          <w:b/>
          <w:snapToGrid w:val="0"/>
          <w:color w:val="auto"/>
          <w:kern w:val="0"/>
          <w:sz w:val="24"/>
        </w:rPr>
        <w:t>副</w:t>
      </w:r>
      <w:r>
        <w:rPr>
          <w:rFonts w:asciiTheme="minorEastAsia" w:hAnsiTheme="minorEastAsia" w:eastAsiaTheme="minorEastAsia"/>
          <w:b/>
          <w:snapToGrid w:val="0"/>
          <w:color w:val="auto"/>
          <w:kern w:val="0"/>
          <w:sz w:val="24"/>
        </w:rPr>
        <w:t>本”</w:t>
      </w:r>
      <w:r>
        <w:rPr>
          <w:rFonts w:hint="eastAsia" w:asciiTheme="minorEastAsia" w:hAnsiTheme="minorEastAsia" w:eastAsiaTheme="minorEastAsia"/>
          <w:b/>
          <w:snapToGrid w:val="0"/>
          <w:color w:val="auto"/>
          <w:kern w:val="0"/>
          <w:sz w:val="24"/>
        </w:rPr>
        <w:t>字样。</w:t>
      </w:r>
    </w:p>
    <w:p w14:paraId="23B1CC60">
      <w:pPr>
        <w:spacing w:line="500" w:lineRule="exact"/>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rPr>
        <w:t>20.3</w:t>
      </w:r>
      <w:r>
        <w:rPr>
          <w:rFonts w:asciiTheme="minorEastAsia" w:hAnsiTheme="minorEastAsia" w:eastAsiaTheme="minorEastAsia"/>
          <w:b/>
          <w:color w:val="auto"/>
          <w:sz w:val="24"/>
        </w:rPr>
        <w:t>所有投标文件的密封袋</w:t>
      </w:r>
      <w:r>
        <w:rPr>
          <w:rFonts w:hint="eastAsia" w:asciiTheme="minorEastAsia" w:hAnsiTheme="minorEastAsia" w:eastAsiaTheme="minorEastAsia"/>
          <w:b/>
          <w:color w:val="auto"/>
          <w:sz w:val="24"/>
        </w:rPr>
        <w:t>上</w:t>
      </w:r>
      <w:r>
        <w:rPr>
          <w:rFonts w:asciiTheme="minorEastAsia" w:hAnsiTheme="minorEastAsia" w:eastAsiaTheme="minorEastAsia"/>
          <w:b/>
          <w:color w:val="auto"/>
          <w:sz w:val="24"/>
        </w:rPr>
        <w:t>均应加盖投标人</w:t>
      </w:r>
      <w:r>
        <w:rPr>
          <w:rFonts w:hint="eastAsia" w:asciiTheme="minorEastAsia" w:hAnsiTheme="minorEastAsia" w:eastAsiaTheme="minorEastAsia"/>
          <w:b/>
          <w:color w:val="auto"/>
          <w:sz w:val="24"/>
        </w:rPr>
        <w:t>公</w:t>
      </w:r>
      <w:r>
        <w:rPr>
          <w:rFonts w:asciiTheme="minorEastAsia" w:hAnsiTheme="minorEastAsia" w:eastAsiaTheme="minorEastAsia"/>
          <w:b/>
          <w:color w:val="auto"/>
          <w:sz w:val="24"/>
        </w:rPr>
        <w:t>章</w:t>
      </w:r>
      <w:r>
        <w:rPr>
          <w:rFonts w:hint="eastAsia" w:asciiTheme="minorEastAsia" w:hAnsiTheme="minorEastAsia" w:eastAsiaTheme="minorEastAsia"/>
          <w:b/>
          <w:bCs/>
          <w:color w:val="auto"/>
          <w:sz w:val="24"/>
        </w:rPr>
        <w:t>和法定代表人印章或法定代表人签字</w:t>
      </w:r>
      <w:r>
        <w:rPr>
          <w:rFonts w:hint="eastAsia" w:asciiTheme="minorEastAsia" w:hAnsiTheme="minorEastAsia" w:eastAsiaTheme="minorEastAsia"/>
          <w:b/>
          <w:color w:val="auto"/>
          <w:sz w:val="24"/>
        </w:rPr>
        <w:t>。</w:t>
      </w:r>
    </w:p>
    <w:p w14:paraId="1B4E8812">
      <w:pPr>
        <w:spacing w:line="500" w:lineRule="exact"/>
        <w:ind w:firstLine="465"/>
        <w:rPr>
          <w:rFonts w:asciiTheme="minorEastAsia" w:hAnsiTheme="minorEastAsia" w:eastAsiaTheme="minorEastAsia"/>
          <w:b/>
          <w:color w:val="auto"/>
          <w:sz w:val="24"/>
        </w:rPr>
      </w:pPr>
      <w:r>
        <w:rPr>
          <w:rFonts w:hint="eastAsia" w:asciiTheme="minorEastAsia" w:hAnsiTheme="minorEastAsia" w:eastAsiaTheme="minorEastAsia"/>
          <w:b/>
          <w:color w:val="auto"/>
          <w:sz w:val="24"/>
        </w:rPr>
        <w:t>20.4投标人未按上述规定提交投标文件，其投标文件将被拒绝，并原封退还给投标人。</w:t>
      </w:r>
    </w:p>
    <w:p w14:paraId="0CFBD04C">
      <w:pPr>
        <w:spacing w:line="500" w:lineRule="exact"/>
        <w:rPr>
          <w:rFonts w:asciiTheme="minorEastAsia" w:hAnsiTheme="minorEastAsia" w:eastAsiaTheme="minorEastAsia"/>
          <w:color w:val="auto"/>
          <w:sz w:val="24"/>
        </w:rPr>
      </w:pPr>
      <w:r>
        <w:rPr>
          <w:rFonts w:hint="eastAsia" w:asciiTheme="minorEastAsia" w:hAnsiTheme="minorEastAsia" w:eastAsiaTheme="minorEastAsia"/>
          <w:color w:val="auto"/>
          <w:sz w:val="24"/>
        </w:rPr>
        <w:t xml:space="preserve">    20.5投标文件正、副本不一致时，以正本为准。</w:t>
      </w:r>
    </w:p>
    <w:p w14:paraId="506BAF33">
      <w:pPr>
        <w:spacing w:line="500" w:lineRule="exact"/>
        <w:rPr>
          <w:rFonts w:asciiTheme="minorEastAsia" w:hAnsiTheme="minorEastAsia" w:eastAsiaTheme="minorEastAsia"/>
          <w:color w:val="auto"/>
          <w:sz w:val="24"/>
        </w:rPr>
      </w:pPr>
      <w:r>
        <w:rPr>
          <w:rFonts w:hint="eastAsia" w:asciiTheme="minorEastAsia" w:hAnsiTheme="minorEastAsia" w:eastAsiaTheme="minorEastAsia"/>
          <w:color w:val="auto"/>
          <w:sz w:val="24"/>
        </w:rPr>
        <w:t xml:space="preserve">    21、投标文件的递交</w:t>
      </w:r>
    </w:p>
    <w:p w14:paraId="2988EFC4">
      <w:pPr>
        <w:spacing w:line="500" w:lineRule="exact"/>
        <w:ind w:firstLine="480"/>
        <w:rPr>
          <w:rFonts w:asciiTheme="minorEastAsia" w:hAnsiTheme="minorEastAsia" w:eastAsiaTheme="minorEastAsia"/>
          <w:color w:val="auto"/>
          <w:sz w:val="24"/>
        </w:rPr>
      </w:pPr>
      <w:r>
        <w:rPr>
          <w:rFonts w:hint="eastAsia" w:asciiTheme="minorEastAsia" w:hAnsiTheme="minorEastAsia" w:eastAsiaTheme="minorEastAsia"/>
          <w:color w:val="auto"/>
          <w:sz w:val="24"/>
        </w:rPr>
        <w:t>21.1投标人应在投标人的投标文件递交截止时间之前完成</w:t>
      </w:r>
      <w:r>
        <w:rPr>
          <w:rFonts w:asciiTheme="minorEastAsia" w:hAnsiTheme="minorEastAsia" w:eastAsiaTheme="minorEastAsia"/>
          <w:color w:val="auto"/>
          <w:sz w:val="24"/>
        </w:rPr>
        <w:t>投标文件的</w:t>
      </w:r>
      <w:r>
        <w:rPr>
          <w:rFonts w:hint="eastAsia" w:asciiTheme="minorEastAsia" w:hAnsiTheme="minorEastAsia" w:eastAsiaTheme="minorEastAsia"/>
          <w:color w:val="auto"/>
          <w:sz w:val="24"/>
        </w:rPr>
        <w:t>递交。招标人延长递交投标文件截止时间的，招标人与投标人在原投标截止期的全部权利、义务、责任将适用于延长后新的投标截止期。</w:t>
      </w:r>
    </w:p>
    <w:p w14:paraId="2513F992">
      <w:pPr>
        <w:spacing w:line="500" w:lineRule="exact"/>
        <w:ind w:firstLine="480"/>
        <w:rPr>
          <w:rFonts w:asciiTheme="minorEastAsia" w:hAnsiTheme="minorEastAsia" w:eastAsiaTheme="minorEastAsia"/>
          <w:color w:val="auto"/>
          <w:sz w:val="24"/>
        </w:rPr>
      </w:pPr>
      <w:r>
        <w:rPr>
          <w:rFonts w:hint="eastAsia" w:asciiTheme="minorEastAsia" w:hAnsiTheme="minorEastAsia" w:eastAsiaTheme="minorEastAsia"/>
          <w:color w:val="auto"/>
          <w:sz w:val="24"/>
        </w:rPr>
        <w:t>21.</w:t>
      </w:r>
      <w:r>
        <w:rPr>
          <w:rFonts w:asciiTheme="minorEastAsia" w:hAnsiTheme="minorEastAsia" w:eastAsiaTheme="minorEastAsia"/>
          <w:color w:val="auto"/>
          <w:sz w:val="24"/>
        </w:rPr>
        <w:t>2</w:t>
      </w:r>
      <w:r>
        <w:rPr>
          <w:rFonts w:hint="eastAsia" w:asciiTheme="minorEastAsia" w:hAnsiTheme="minorEastAsia" w:eastAsiaTheme="minorEastAsia"/>
          <w:color w:val="auto"/>
          <w:sz w:val="24"/>
        </w:rPr>
        <w:t>逾期送达的或者未送达指定地点的投标文件，招标人不予受理。</w:t>
      </w:r>
    </w:p>
    <w:p w14:paraId="0D03A25A">
      <w:pPr>
        <w:spacing w:line="500" w:lineRule="exact"/>
        <w:ind w:firstLine="480"/>
        <w:rPr>
          <w:rFonts w:asciiTheme="minorEastAsia" w:hAnsiTheme="minorEastAsia" w:eastAsiaTheme="minorEastAsia"/>
          <w:color w:val="auto"/>
          <w:sz w:val="24"/>
        </w:rPr>
      </w:pPr>
      <w:r>
        <w:rPr>
          <w:rFonts w:hint="eastAsia" w:asciiTheme="minorEastAsia" w:hAnsiTheme="minorEastAsia" w:eastAsiaTheme="minorEastAsia"/>
          <w:color w:val="auto"/>
          <w:sz w:val="24"/>
        </w:rPr>
        <w:t>22、投标文件的修改与撤回</w:t>
      </w:r>
    </w:p>
    <w:p w14:paraId="7EC3B832">
      <w:pPr>
        <w:spacing w:line="500" w:lineRule="exact"/>
        <w:ind w:firstLine="480" w:firstLineChars="200"/>
        <w:rPr>
          <w:rFonts w:cs="宋体" w:asciiTheme="minorEastAsia" w:hAnsiTheme="minorEastAsia" w:eastAsiaTheme="minorEastAsia"/>
          <w:color w:val="auto"/>
          <w:sz w:val="24"/>
        </w:rPr>
      </w:pPr>
      <w:r>
        <w:rPr>
          <w:rFonts w:hint="eastAsia" w:asciiTheme="minorEastAsia" w:hAnsiTheme="minorEastAsia" w:eastAsiaTheme="minorEastAsia"/>
          <w:color w:val="auto"/>
          <w:sz w:val="24"/>
        </w:rPr>
        <w:t>投标截止时间之前，投标人可对所递交的投标文件进行修改或撤回，但所递交的修改或撤回通知必须按招标文件的规定进行编制、密封、标志</w:t>
      </w:r>
      <w:r>
        <w:rPr>
          <w:rFonts w:asciiTheme="minorEastAsia" w:hAnsiTheme="minorEastAsia" w:eastAsiaTheme="minorEastAsia"/>
          <w:color w:val="auto"/>
          <w:sz w:val="24"/>
        </w:rPr>
        <w:t>(</w:t>
      </w:r>
      <w:r>
        <w:rPr>
          <w:rFonts w:hint="eastAsia" w:asciiTheme="minorEastAsia" w:hAnsiTheme="minorEastAsia" w:eastAsiaTheme="minorEastAsia"/>
          <w:color w:val="auto"/>
          <w:sz w:val="24"/>
        </w:rPr>
        <w:t>在包封上标明“修改”或“撤回”字样，并注明修改或撤回的时间</w:t>
      </w:r>
      <w:r>
        <w:rPr>
          <w:rFonts w:asciiTheme="minorEastAsia" w:hAnsiTheme="minorEastAsia" w:eastAsiaTheme="minorEastAsia"/>
          <w:color w:val="auto"/>
          <w:sz w:val="24"/>
        </w:rPr>
        <w:t>)</w:t>
      </w:r>
      <w:r>
        <w:rPr>
          <w:rFonts w:hint="eastAsia" w:asciiTheme="minorEastAsia" w:hAnsiTheme="minorEastAsia" w:eastAsiaTheme="minorEastAsia"/>
          <w:color w:val="auto"/>
          <w:sz w:val="24"/>
        </w:rPr>
        <w:t>和递交。投标截止时间之后，投标人不得修改或撤回投标文件。</w:t>
      </w:r>
    </w:p>
    <w:p w14:paraId="3334F86B">
      <w:pPr>
        <w:spacing w:line="440" w:lineRule="exact"/>
        <w:ind w:firstLine="480"/>
        <w:rPr>
          <w:rFonts w:ascii="宋体" w:hAnsi="宋体"/>
          <w:b/>
          <w:color w:val="auto"/>
          <w:sz w:val="24"/>
        </w:rPr>
      </w:pPr>
    </w:p>
    <w:p w14:paraId="476D2561">
      <w:pPr>
        <w:pStyle w:val="147"/>
        <w:spacing w:line="440" w:lineRule="exact"/>
        <w:outlineLvl w:val="1"/>
        <w:rPr>
          <w:rFonts w:ascii="宋体" w:hAnsi="宋体"/>
          <w:b/>
          <w:color w:val="auto"/>
          <w:szCs w:val="24"/>
        </w:rPr>
      </w:pPr>
      <w:r>
        <w:rPr>
          <w:rFonts w:ascii="宋体" w:hAnsi="宋体"/>
          <w:b/>
          <w:color w:val="auto"/>
          <w:szCs w:val="24"/>
        </w:rPr>
        <w:t xml:space="preserve"> (六) 开标、评标和定标</w:t>
      </w:r>
    </w:p>
    <w:p w14:paraId="3E8A8791">
      <w:pPr>
        <w:spacing w:line="440" w:lineRule="exact"/>
        <w:ind w:firstLine="480"/>
        <w:rPr>
          <w:rFonts w:ascii="宋体" w:hAnsi="宋体"/>
          <w:color w:val="auto"/>
          <w:sz w:val="24"/>
        </w:rPr>
      </w:pPr>
      <w:r>
        <w:rPr>
          <w:rFonts w:ascii="宋体" w:hAnsi="宋体"/>
          <w:b/>
          <w:color w:val="auto"/>
          <w:sz w:val="24"/>
        </w:rPr>
        <w:t>23</w:t>
      </w:r>
      <w:r>
        <w:rPr>
          <w:rFonts w:hint="eastAsia" w:ascii="宋体" w:hAnsi="宋体"/>
          <w:b/>
          <w:color w:val="auto"/>
          <w:sz w:val="24"/>
        </w:rPr>
        <w:t>、</w:t>
      </w:r>
      <w:r>
        <w:rPr>
          <w:rFonts w:ascii="宋体" w:hAnsi="宋体"/>
          <w:color w:val="auto"/>
          <w:sz w:val="24"/>
        </w:rPr>
        <w:t>本工程评标、定标办法采用下列</w:t>
      </w:r>
      <w:r>
        <w:rPr>
          <w:rFonts w:ascii="宋体" w:hAnsi="宋体"/>
          <w:b/>
          <w:color w:val="auto"/>
          <w:sz w:val="24"/>
          <w:u w:val="single"/>
        </w:rPr>
        <w:t xml:space="preserve">  23.1 </w:t>
      </w:r>
      <w:r>
        <w:rPr>
          <w:rFonts w:ascii="宋体" w:hAnsi="宋体"/>
          <w:color w:val="auto"/>
          <w:sz w:val="24"/>
        </w:rPr>
        <w:t>种方式</w:t>
      </w:r>
    </w:p>
    <w:p w14:paraId="3FFC933F">
      <w:pPr>
        <w:spacing w:line="440" w:lineRule="exact"/>
        <w:ind w:firstLine="480"/>
        <w:rPr>
          <w:rFonts w:ascii="宋体" w:hAnsi="宋体"/>
          <w:color w:val="auto"/>
          <w:sz w:val="24"/>
        </w:rPr>
      </w:pPr>
      <w:r>
        <w:rPr>
          <w:rFonts w:ascii="宋体" w:hAnsi="宋体"/>
          <w:color w:val="auto"/>
          <w:sz w:val="24"/>
        </w:rPr>
        <w:t>23.1价格单因素评标办法</w:t>
      </w:r>
    </w:p>
    <w:p w14:paraId="0EA0DC20">
      <w:pPr>
        <w:spacing w:line="440" w:lineRule="exact"/>
        <w:ind w:firstLine="480"/>
        <w:rPr>
          <w:rFonts w:ascii="宋体" w:hAnsi="宋体"/>
          <w:color w:val="auto"/>
          <w:sz w:val="24"/>
        </w:rPr>
      </w:pPr>
      <w:r>
        <w:rPr>
          <w:rFonts w:ascii="宋体" w:hAnsi="宋体"/>
          <w:color w:val="auto"/>
          <w:sz w:val="24"/>
        </w:rPr>
        <w:t>23.2含施工组织设计的价格单因素评标方法</w:t>
      </w:r>
    </w:p>
    <w:p w14:paraId="714B131A">
      <w:pPr>
        <w:spacing w:line="440" w:lineRule="exact"/>
        <w:ind w:firstLine="480"/>
        <w:rPr>
          <w:rFonts w:ascii="宋体" w:hAnsi="宋体"/>
          <w:color w:val="auto"/>
          <w:sz w:val="24"/>
        </w:rPr>
      </w:pPr>
      <w:r>
        <w:rPr>
          <w:rFonts w:ascii="宋体" w:hAnsi="宋体"/>
          <w:color w:val="auto"/>
          <w:sz w:val="24"/>
        </w:rPr>
        <w:t>23.3综合评估法</w:t>
      </w:r>
    </w:p>
    <w:p w14:paraId="43F22B05">
      <w:pPr>
        <w:snapToGrid w:val="0"/>
        <w:spacing w:line="500" w:lineRule="exact"/>
        <w:ind w:firstLine="482" w:firstLineChars="200"/>
        <w:rPr>
          <w:rFonts w:ascii="宋体" w:hAnsi="宋体"/>
          <w:color w:val="auto"/>
          <w:sz w:val="24"/>
        </w:rPr>
      </w:pPr>
      <w:r>
        <w:rPr>
          <w:rFonts w:ascii="宋体" w:hAnsi="宋体"/>
          <w:b/>
          <w:color w:val="auto"/>
          <w:sz w:val="24"/>
        </w:rPr>
        <w:t>24</w:t>
      </w:r>
      <w:r>
        <w:rPr>
          <w:rFonts w:hint="eastAsia" w:ascii="宋体" w:hAnsi="宋体"/>
          <w:b/>
          <w:color w:val="auto"/>
          <w:sz w:val="24"/>
        </w:rPr>
        <w:t>、</w:t>
      </w:r>
      <w:r>
        <w:rPr>
          <w:rFonts w:hint="eastAsia" w:asciiTheme="minorEastAsia" w:hAnsiTheme="minorEastAsia" w:eastAsiaTheme="minorEastAsia"/>
          <w:color w:val="auto"/>
          <w:sz w:val="24"/>
        </w:rPr>
        <w:t>本项目采用现场开标。由投标人或投标人代表检查投标文件的密封情况，也可以由招标人委托的公证机构检查并公证。经确认无误签字确认后，当众启封投标文件及修改文件，公布投标文件的主要内容。</w:t>
      </w:r>
    </w:p>
    <w:p w14:paraId="36F223FA">
      <w:pPr>
        <w:spacing w:line="440" w:lineRule="exact"/>
        <w:ind w:firstLine="480"/>
        <w:rPr>
          <w:rFonts w:ascii="宋体" w:hAnsi="宋体"/>
          <w:color w:val="auto"/>
          <w:sz w:val="24"/>
        </w:rPr>
      </w:pPr>
      <w:r>
        <w:rPr>
          <w:rFonts w:ascii="宋体" w:hAnsi="宋体"/>
          <w:b/>
          <w:color w:val="auto"/>
          <w:sz w:val="24"/>
        </w:rPr>
        <w:t>25</w:t>
      </w:r>
      <w:r>
        <w:rPr>
          <w:rFonts w:hint="eastAsia" w:ascii="宋体" w:hAnsi="宋体"/>
          <w:b/>
          <w:color w:val="auto"/>
          <w:sz w:val="24"/>
        </w:rPr>
        <w:t>、</w:t>
      </w:r>
      <w:r>
        <w:rPr>
          <w:rFonts w:ascii="宋体" w:hAnsi="宋体"/>
          <w:color w:val="auto"/>
          <w:sz w:val="24"/>
        </w:rPr>
        <w:t>评标委员会应当审查每一投标文件是否对招标文件提出的所有实质性要求和条件作出响应。</w:t>
      </w:r>
    </w:p>
    <w:p w14:paraId="712F62B2">
      <w:pPr>
        <w:spacing w:line="440" w:lineRule="exact"/>
        <w:ind w:firstLine="482" w:firstLineChars="200"/>
        <w:rPr>
          <w:rFonts w:ascii="宋体" w:hAnsi="宋体"/>
          <w:b/>
          <w:color w:val="auto"/>
          <w:sz w:val="24"/>
        </w:rPr>
      </w:pPr>
      <w:r>
        <w:rPr>
          <w:rFonts w:ascii="宋体" w:hAnsi="宋体"/>
          <w:b/>
          <w:color w:val="auto"/>
          <w:sz w:val="24"/>
        </w:rPr>
        <w:t>26</w:t>
      </w:r>
      <w:r>
        <w:rPr>
          <w:rFonts w:hint="eastAsia" w:ascii="宋体" w:hAnsi="宋体"/>
          <w:b/>
          <w:color w:val="auto"/>
          <w:sz w:val="24"/>
        </w:rPr>
        <w:t>、</w:t>
      </w:r>
      <w:r>
        <w:rPr>
          <w:rFonts w:ascii="宋体" w:hAnsi="宋体"/>
          <w:b/>
          <w:color w:val="auto"/>
          <w:kern w:val="0"/>
          <w:sz w:val="24"/>
        </w:rPr>
        <w:t>凡</w:t>
      </w:r>
      <w:r>
        <w:rPr>
          <w:rFonts w:ascii="宋体" w:hAnsi="宋体"/>
          <w:b/>
          <w:color w:val="auto"/>
          <w:sz w:val="24"/>
        </w:rPr>
        <w:t>投标文件有下列情况之一的，属于重大偏差，视同未能对招标文件作出实质性响应，按废标处理。</w:t>
      </w:r>
    </w:p>
    <w:p w14:paraId="17AD2B9D">
      <w:pPr>
        <w:spacing w:line="440" w:lineRule="exact"/>
        <w:ind w:firstLine="482" w:firstLineChars="200"/>
        <w:rPr>
          <w:rFonts w:hint="eastAsia" w:ascii="宋体" w:hAnsi="宋体" w:eastAsia="宋体" w:cs="宋体"/>
          <w:b/>
          <w:bCs/>
          <w:color w:val="auto"/>
          <w:sz w:val="24"/>
          <w:lang w:eastAsia="zh-CN"/>
        </w:rPr>
      </w:pPr>
      <w:r>
        <w:rPr>
          <w:rFonts w:ascii="宋体" w:hAnsi="宋体"/>
          <w:b/>
          <w:bCs/>
          <w:color w:val="auto"/>
          <w:sz w:val="24"/>
        </w:rPr>
        <w:t>26.1</w:t>
      </w:r>
      <w:r>
        <w:rPr>
          <w:rFonts w:hint="eastAsia" w:ascii="宋体" w:hAnsi="宋体" w:cs="宋体"/>
          <w:b/>
          <w:bCs/>
          <w:color w:val="auto"/>
          <w:sz w:val="24"/>
        </w:rPr>
        <w:t>投标文件中的投标函未加盖投标人的公章；</w:t>
      </w:r>
      <w:r>
        <w:rPr>
          <w:rFonts w:ascii="宋体" w:hAnsi="宋体"/>
          <w:b/>
          <w:bCs/>
          <w:color w:val="auto"/>
          <w:sz w:val="24"/>
        </w:rPr>
        <w:br w:type="textWrapping"/>
      </w:r>
      <w:r>
        <w:rPr>
          <w:rFonts w:ascii="宋体" w:hAnsi="宋体"/>
          <w:b/>
          <w:bCs/>
          <w:color w:val="auto"/>
          <w:sz w:val="24"/>
        </w:rPr>
        <w:t xml:space="preserve">    26.2</w:t>
      </w:r>
      <w:r>
        <w:rPr>
          <w:rFonts w:hint="eastAsia" w:ascii="宋体" w:hAnsi="宋体" w:cs="宋体"/>
          <w:b/>
          <w:bCs/>
          <w:color w:val="auto"/>
          <w:sz w:val="24"/>
        </w:rPr>
        <w:t>投标文件中的投标函未加盖企业法定代表人（或委托代理人）印章（或签字）的；</w:t>
      </w:r>
      <w:r>
        <w:rPr>
          <w:rFonts w:ascii="宋体" w:hAnsi="宋体"/>
          <w:b/>
          <w:bCs/>
          <w:color w:val="auto"/>
          <w:sz w:val="24"/>
        </w:rPr>
        <w:br w:type="textWrapping"/>
      </w:r>
      <w:r>
        <w:rPr>
          <w:rFonts w:ascii="宋体" w:hAnsi="宋体"/>
          <w:b/>
          <w:bCs/>
          <w:color w:val="auto"/>
          <w:sz w:val="24"/>
        </w:rPr>
        <w:t xml:space="preserve">    26.3</w:t>
      </w:r>
      <w:r>
        <w:rPr>
          <w:rFonts w:hint="eastAsia" w:ascii="宋体" w:hAnsi="宋体" w:cs="宋体"/>
          <w:b/>
          <w:bCs/>
          <w:color w:val="auto"/>
          <w:sz w:val="24"/>
        </w:rPr>
        <w:t>如投标函加盖企业委托代理人印章（或签字）的，委托代理人没有合法、有效的委托书（原件）的；</w:t>
      </w:r>
      <w:r>
        <w:rPr>
          <w:rFonts w:ascii="宋体" w:hAnsi="宋体"/>
          <w:b/>
          <w:bCs/>
          <w:color w:val="auto"/>
          <w:sz w:val="24"/>
        </w:rPr>
        <w:br w:type="textWrapping"/>
      </w:r>
      <w:r>
        <w:rPr>
          <w:rFonts w:ascii="宋体" w:hAnsi="宋体"/>
          <w:b/>
          <w:bCs/>
          <w:color w:val="auto"/>
          <w:sz w:val="24"/>
        </w:rPr>
        <w:t xml:space="preserve">    26.4</w:t>
      </w:r>
      <w:r>
        <w:rPr>
          <w:rFonts w:hint="eastAsia" w:asciiTheme="minorEastAsia" w:hAnsiTheme="minorEastAsia" w:eastAsiaTheme="minorEastAsia"/>
          <w:b/>
          <w:color w:val="auto"/>
          <w:sz w:val="24"/>
        </w:rPr>
        <w:t>投标人资质条件和拟派项目负责人的资格不符合国家有关规定，或者不满足招标文件规定的资格条件的；拟派的项目负责人为一级建造师的，但未根据《办公厅关于全面实行一级建造师电子注册证书的通知》（建办市〔2021〕40号）文件要求使用并提供电子证书的；拟派项目负责人为江苏省二级注册建造师的，未根据《省住房和城乡建设厅关于我省二级建造师、二级造价工程师、二级注册建筑师、二级注册结构工程师注册证书电子证照换发的公告》（(2023)第26号）文件要求使用并提供证书的</w:t>
      </w:r>
      <w:r>
        <w:rPr>
          <w:rFonts w:hint="eastAsia" w:ascii="宋体" w:hAnsi="宋体" w:cs="宋体"/>
          <w:b/>
          <w:bCs/>
          <w:color w:val="auto"/>
          <w:sz w:val="24"/>
        </w:rPr>
        <w:t>；</w:t>
      </w:r>
      <w:r>
        <w:rPr>
          <w:rFonts w:ascii="宋体" w:hAnsi="宋体"/>
          <w:b/>
          <w:bCs/>
          <w:color w:val="auto"/>
          <w:sz w:val="24"/>
        </w:rPr>
        <w:br w:type="textWrapping"/>
      </w:r>
      <w:r>
        <w:rPr>
          <w:rFonts w:ascii="宋体" w:hAnsi="宋体"/>
          <w:b/>
          <w:bCs/>
          <w:color w:val="auto"/>
          <w:sz w:val="24"/>
        </w:rPr>
        <w:t xml:space="preserve">    26.5</w:t>
      </w:r>
      <w:r>
        <w:rPr>
          <w:rFonts w:hint="eastAsia" w:ascii="宋体" w:hAnsi="宋体" w:cs="宋体"/>
          <w:b/>
          <w:bCs/>
          <w:color w:val="auto"/>
          <w:sz w:val="24"/>
        </w:rPr>
        <w:t>投标人名称或组织结构与资格预审时不一致的；</w:t>
      </w:r>
      <w:r>
        <w:rPr>
          <w:rFonts w:ascii="宋体" w:hAnsi="宋体"/>
          <w:b/>
          <w:bCs/>
          <w:color w:val="auto"/>
          <w:sz w:val="24"/>
        </w:rPr>
        <w:br w:type="textWrapping"/>
      </w:r>
      <w:r>
        <w:rPr>
          <w:rFonts w:ascii="宋体" w:hAnsi="宋体"/>
          <w:b/>
          <w:bCs/>
          <w:color w:val="auto"/>
          <w:sz w:val="24"/>
        </w:rPr>
        <w:t xml:space="preserve">    26.6</w:t>
      </w:r>
      <w:r>
        <w:rPr>
          <w:rFonts w:hint="eastAsia" w:ascii="宋体" w:hAnsi="宋体" w:cs="宋体"/>
          <w:b/>
          <w:bCs/>
          <w:color w:val="auto"/>
          <w:sz w:val="24"/>
        </w:rPr>
        <w:t>除在投标截止时间前经招标人书面同意外，项目负责人与资格预审时不一致的；</w:t>
      </w:r>
      <w:r>
        <w:rPr>
          <w:rFonts w:ascii="宋体" w:hAnsi="宋体"/>
          <w:b/>
          <w:bCs/>
          <w:color w:val="auto"/>
          <w:sz w:val="24"/>
        </w:rPr>
        <w:br w:type="textWrapping"/>
      </w:r>
      <w:r>
        <w:rPr>
          <w:rFonts w:ascii="宋体" w:hAnsi="宋体"/>
          <w:b/>
          <w:bCs/>
          <w:color w:val="auto"/>
          <w:sz w:val="24"/>
        </w:rPr>
        <w:t xml:space="preserve">    26.7</w:t>
      </w:r>
      <w:r>
        <w:rPr>
          <w:rFonts w:hint="eastAsia" w:ascii="宋体" w:hAnsi="宋体" w:cs="宋体"/>
          <w:b/>
          <w:bCs/>
          <w:color w:val="auto"/>
          <w:sz w:val="24"/>
        </w:rPr>
        <w:t>投标人在投标文件递交截止时间当日，建筑企业资质动态监管结果（本项目资质要求）处于不合格状态的</w:t>
      </w:r>
      <w:r>
        <w:rPr>
          <w:rFonts w:hint="eastAsia" w:ascii="宋体" w:hAnsi="宋体" w:cs="宋体"/>
          <w:b/>
          <w:bCs/>
          <w:color w:val="auto"/>
          <w:sz w:val="24"/>
          <w:lang w:eastAsia="zh-CN"/>
        </w:rPr>
        <w:t>；</w:t>
      </w:r>
      <w:r>
        <w:rPr>
          <w:rFonts w:ascii="宋体" w:hAnsi="宋体"/>
          <w:b/>
          <w:bCs/>
          <w:color w:val="auto"/>
          <w:sz w:val="24"/>
        </w:rPr>
        <w:br w:type="textWrapping"/>
      </w:r>
      <w:r>
        <w:rPr>
          <w:rFonts w:ascii="宋体" w:hAnsi="宋体"/>
          <w:b/>
          <w:bCs/>
          <w:color w:val="auto"/>
          <w:sz w:val="24"/>
        </w:rPr>
        <w:t xml:space="preserve">    26.8</w:t>
      </w:r>
      <w:r>
        <w:rPr>
          <w:rFonts w:hint="eastAsia" w:ascii="宋体" w:hAnsi="宋体" w:cs="宋体"/>
          <w:b/>
          <w:bCs/>
          <w:color w:val="auto"/>
          <w:sz w:val="24"/>
        </w:rPr>
        <w:t>以他人的名义投标、串通投标、以行贿手段谋取中标或者以其他弄虚作假方式投标的；</w:t>
      </w:r>
      <w:r>
        <w:rPr>
          <w:rFonts w:ascii="宋体" w:hAnsi="宋体"/>
          <w:b/>
          <w:bCs/>
          <w:color w:val="auto"/>
          <w:sz w:val="24"/>
        </w:rPr>
        <w:br w:type="textWrapping"/>
      </w:r>
      <w:r>
        <w:rPr>
          <w:rFonts w:ascii="宋体" w:hAnsi="宋体"/>
          <w:b/>
          <w:bCs/>
          <w:color w:val="auto"/>
          <w:sz w:val="24"/>
        </w:rPr>
        <w:t xml:space="preserve">    26.9</w:t>
      </w:r>
      <w:r>
        <w:rPr>
          <w:rFonts w:hint="eastAsia" w:ascii="宋体" w:hAnsi="宋体" w:cs="宋体"/>
          <w:b/>
          <w:bCs/>
          <w:color w:val="auto"/>
          <w:sz w:val="24"/>
        </w:rPr>
        <w:t>不同投标人的投标文件以及投标文件制作过程出现了评标委员会认为不应当雷同的情况的；</w:t>
      </w:r>
      <w:r>
        <w:rPr>
          <w:rFonts w:ascii="宋体" w:hAnsi="宋体"/>
          <w:b/>
          <w:bCs/>
          <w:color w:val="auto"/>
          <w:sz w:val="24"/>
        </w:rPr>
        <w:br w:type="textWrapping"/>
      </w:r>
      <w:r>
        <w:rPr>
          <w:rFonts w:ascii="宋体" w:hAnsi="宋体"/>
          <w:b/>
          <w:bCs/>
          <w:color w:val="auto"/>
          <w:sz w:val="24"/>
        </w:rPr>
        <w:t xml:space="preserve">    26.10</w:t>
      </w:r>
      <w:r>
        <w:rPr>
          <w:rFonts w:hint="eastAsia" w:ascii="宋体" w:hAnsi="宋体" w:cs="宋体"/>
          <w:b/>
          <w:bCs/>
          <w:color w:val="auto"/>
          <w:sz w:val="24"/>
        </w:rPr>
        <w:t>投标报价低于成本</w:t>
      </w:r>
      <w:r>
        <w:rPr>
          <w:rFonts w:hint="eastAsia" w:hAnsi="宋体" w:cs="宋体"/>
          <w:b/>
          <w:bCs/>
          <w:color w:val="auto"/>
          <w:sz w:val="24"/>
        </w:rPr>
        <w:t>或者高于招标文件设定的</w:t>
      </w:r>
      <w:r>
        <w:rPr>
          <w:rFonts w:hint="eastAsia" w:hAnsi="宋体" w:cs="宋体"/>
          <w:b/>
          <w:bCs/>
          <w:color w:val="auto"/>
          <w:sz w:val="24"/>
          <w:lang w:eastAsia="zh-CN"/>
        </w:rPr>
        <w:t>最高投标限价</w:t>
      </w:r>
      <w:r>
        <w:rPr>
          <w:rFonts w:hint="eastAsia" w:hAnsi="宋体" w:cs="宋体"/>
          <w:b/>
          <w:bCs/>
          <w:color w:val="auto"/>
          <w:sz w:val="24"/>
        </w:rPr>
        <w:t>的</w:t>
      </w:r>
      <w:r>
        <w:rPr>
          <w:rFonts w:hint="eastAsia" w:ascii="宋体" w:hAnsi="宋体" w:cs="宋体"/>
          <w:b/>
          <w:bCs/>
          <w:color w:val="auto"/>
          <w:sz w:val="24"/>
        </w:rPr>
        <w:t>；</w:t>
      </w:r>
      <w:r>
        <w:rPr>
          <w:rFonts w:ascii="宋体" w:hAnsi="宋体"/>
          <w:b/>
          <w:bCs/>
          <w:color w:val="auto"/>
          <w:sz w:val="24"/>
        </w:rPr>
        <w:br w:type="textWrapping"/>
      </w:r>
      <w:r>
        <w:rPr>
          <w:rFonts w:ascii="宋体" w:hAnsi="宋体"/>
          <w:b/>
          <w:bCs/>
          <w:color w:val="auto"/>
          <w:sz w:val="24"/>
        </w:rPr>
        <w:t xml:space="preserve">    26.11</w:t>
      </w:r>
      <w:r>
        <w:rPr>
          <w:rFonts w:hint="eastAsia" w:ascii="宋体" w:hAnsi="宋体" w:cs="宋体"/>
          <w:b/>
          <w:bCs/>
          <w:color w:val="auto"/>
          <w:sz w:val="24"/>
        </w:rPr>
        <w:t>同一投标人提交两个及以上不同的投标文件或者投标报价，但招标文件要求提交备选投标的除外；</w:t>
      </w:r>
      <w:r>
        <w:rPr>
          <w:rFonts w:ascii="宋体" w:hAnsi="宋体"/>
          <w:b/>
          <w:bCs/>
          <w:color w:val="auto"/>
          <w:sz w:val="24"/>
        </w:rPr>
        <w:br w:type="textWrapping"/>
      </w:r>
      <w:r>
        <w:rPr>
          <w:rFonts w:ascii="宋体" w:hAnsi="宋体"/>
          <w:b/>
          <w:bCs/>
          <w:color w:val="auto"/>
          <w:sz w:val="24"/>
        </w:rPr>
        <w:t xml:space="preserve">    26.12</w:t>
      </w:r>
      <w:r>
        <w:rPr>
          <w:rFonts w:hint="eastAsia" w:ascii="宋体" w:hAnsi="宋体" w:cs="宋体"/>
          <w:b/>
          <w:bCs/>
          <w:color w:val="auto"/>
          <w:sz w:val="24"/>
        </w:rPr>
        <w:t>与招标文件规定的暂估价、暂列金额及甲供材料价格不一致的；</w:t>
      </w:r>
      <w:r>
        <w:rPr>
          <w:rFonts w:ascii="宋体" w:hAnsi="宋体"/>
          <w:b/>
          <w:bCs/>
          <w:color w:val="auto"/>
          <w:sz w:val="24"/>
        </w:rPr>
        <w:br w:type="textWrapping"/>
      </w:r>
      <w:r>
        <w:rPr>
          <w:rFonts w:ascii="宋体" w:hAnsi="宋体"/>
          <w:b/>
          <w:bCs/>
          <w:color w:val="auto"/>
          <w:sz w:val="24"/>
        </w:rPr>
        <w:t xml:space="preserve">    26.13</w:t>
      </w:r>
      <w:r>
        <w:rPr>
          <w:rFonts w:hint="eastAsia" w:ascii="宋体" w:hAnsi="宋体" w:cs="宋体"/>
          <w:b/>
          <w:bCs/>
          <w:color w:val="auto"/>
          <w:sz w:val="24"/>
        </w:rPr>
        <w:t>与招标文件明确列出的不可竞争费用项目或费率或计算基础不一致的；</w:t>
      </w:r>
      <w:r>
        <w:rPr>
          <w:rFonts w:ascii="宋体" w:hAnsi="宋体"/>
          <w:b/>
          <w:bCs/>
          <w:color w:val="auto"/>
          <w:sz w:val="24"/>
        </w:rPr>
        <w:br w:type="textWrapping"/>
      </w:r>
      <w:r>
        <w:rPr>
          <w:rFonts w:ascii="宋体" w:hAnsi="宋体"/>
          <w:b/>
          <w:bCs/>
          <w:color w:val="auto"/>
          <w:sz w:val="24"/>
        </w:rPr>
        <w:t xml:space="preserve">    26.14</w:t>
      </w:r>
      <w:r>
        <w:rPr>
          <w:rFonts w:hint="eastAsia" w:ascii="宋体" w:hAnsi="宋体" w:cs="宋体"/>
          <w:b/>
          <w:bCs/>
          <w:color w:val="auto"/>
          <w:sz w:val="24"/>
        </w:rPr>
        <w:t>与招标文件提供的工程量清单中的项目编码、项目名称、项目特征、计量单位、工程量不一致的；</w:t>
      </w:r>
      <w:r>
        <w:rPr>
          <w:rFonts w:ascii="宋体" w:hAnsi="宋体"/>
          <w:b/>
          <w:bCs/>
          <w:color w:val="auto"/>
          <w:sz w:val="24"/>
        </w:rPr>
        <w:br w:type="textWrapping"/>
      </w:r>
      <w:r>
        <w:rPr>
          <w:rFonts w:ascii="宋体" w:hAnsi="宋体"/>
          <w:b/>
          <w:bCs/>
          <w:color w:val="auto"/>
          <w:sz w:val="24"/>
        </w:rPr>
        <w:t xml:space="preserve">    26.15</w:t>
      </w:r>
      <w:r>
        <w:rPr>
          <w:rFonts w:hint="eastAsia" w:ascii="宋体" w:hAnsi="宋体" w:cs="宋体"/>
          <w:b/>
          <w:bCs/>
          <w:color w:val="auto"/>
          <w:sz w:val="24"/>
        </w:rPr>
        <w:t>未按招标文件要求提供投标保证金的；</w:t>
      </w:r>
      <w:r>
        <w:rPr>
          <w:rFonts w:ascii="宋体" w:hAnsi="宋体"/>
          <w:b/>
          <w:bCs/>
          <w:color w:val="auto"/>
          <w:sz w:val="24"/>
        </w:rPr>
        <w:br w:type="textWrapping"/>
      </w:r>
      <w:r>
        <w:rPr>
          <w:rFonts w:ascii="宋体" w:hAnsi="宋体"/>
          <w:b/>
          <w:bCs/>
          <w:color w:val="auto"/>
          <w:sz w:val="24"/>
        </w:rPr>
        <w:t xml:space="preserve">    26.16</w:t>
      </w:r>
      <w:r>
        <w:rPr>
          <w:rFonts w:hint="eastAsia" w:ascii="宋体" w:hAnsi="宋体" w:cs="宋体"/>
          <w:b/>
          <w:bCs/>
          <w:color w:val="auto"/>
          <w:sz w:val="24"/>
        </w:rPr>
        <w:t>投标文件载明的招标项目完成期限超过招标文件规定的期限的；</w:t>
      </w:r>
      <w:r>
        <w:rPr>
          <w:rFonts w:ascii="宋体" w:hAnsi="宋体"/>
          <w:b/>
          <w:bCs/>
          <w:color w:val="auto"/>
          <w:sz w:val="24"/>
        </w:rPr>
        <w:br w:type="textWrapping"/>
      </w:r>
      <w:r>
        <w:rPr>
          <w:rFonts w:ascii="宋体" w:hAnsi="宋体"/>
          <w:b/>
          <w:bCs/>
          <w:color w:val="auto"/>
          <w:sz w:val="24"/>
        </w:rPr>
        <w:t xml:space="preserve">    26.17</w:t>
      </w:r>
      <w:r>
        <w:rPr>
          <w:rFonts w:hint="eastAsia" w:ascii="宋体" w:hAnsi="宋体" w:cs="宋体"/>
          <w:b/>
          <w:bCs/>
          <w:color w:val="auto"/>
          <w:sz w:val="24"/>
        </w:rPr>
        <w:t>明显不符合技术规范、技术标准的要求的；</w:t>
      </w:r>
      <w:r>
        <w:rPr>
          <w:rFonts w:ascii="宋体" w:hAnsi="宋体"/>
          <w:b/>
          <w:bCs/>
          <w:color w:val="auto"/>
          <w:sz w:val="24"/>
        </w:rPr>
        <w:br w:type="textWrapping"/>
      </w:r>
      <w:r>
        <w:rPr>
          <w:rFonts w:ascii="宋体" w:hAnsi="宋体"/>
          <w:b/>
          <w:bCs/>
          <w:color w:val="auto"/>
          <w:sz w:val="24"/>
        </w:rPr>
        <w:t xml:space="preserve">    26.18</w:t>
      </w:r>
      <w:r>
        <w:rPr>
          <w:rFonts w:hint="eastAsia" w:ascii="宋体" w:hAnsi="宋体" w:cs="宋体"/>
          <w:b/>
          <w:bCs/>
          <w:color w:val="auto"/>
          <w:sz w:val="24"/>
        </w:rPr>
        <w:t>投标文件载明的货物包装方式、检验标准和方法等不符合招标文件的要求的；</w:t>
      </w:r>
      <w:r>
        <w:rPr>
          <w:rFonts w:ascii="宋体" w:hAnsi="宋体"/>
          <w:b/>
          <w:bCs/>
          <w:color w:val="auto"/>
          <w:sz w:val="24"/>
        </w:rPr>
        <w:br w:type="textWrapping"/>
      </w:r>
      <w:r>
        <w:rPr>
          <w:rFonts w:ascii="宋体" w:hAnsi="宋体"/>
          <w:b/>
          <w:bCs/>
          <w:color w:val="auto"/>
          <w:sz w:val="24"/>
        </w:rPr>
        <w:t xml:space="preserve">    26.19</w:t>
      </w:r>
      <w:r>
        <w:rPr>
          <w:rFonts w:hint="eastAsia" w:ascii="宋体" w:hAnsi="宋体" w:cs="宋体"/>
          <w:b/>
          <w:bCs/>
          <w:color w:val="auto"/>
          <w:sz w:val="24"/>
        </w:rPr>
        <w:t>投标文件提出了不能满足招标文件要求或招标人不能接受的工程验收、计量、价款结算和支付办法的；</w:t>
      </w:r>
      <w:r>
        <w:rPr>
          <w:rFonts w:ascii="宋体" w:hAnsi="宋体" w:cs="宋体"/>
          <w:b/>
          <w:bCs/>
          <w:color w:val="auto"/>
          <w:sz w:val="24"/>
        </w:rPr>
        <w:br w:type="textWrapping"/>
      </w:r>
      <w:r>
        <w:rPr>
          <w:rFonts w:ascii="宋体" w:hAnsi="宋体" w:cs="宋体"/>
          <w:b/>
          <w:bCs/>
          <w:color w:val="auto"/>
          <w:sz w:val="24"/>
        </w:rPr>
        <w:t xml:space="preserve">    26.20</w:t>
      </w:r>
      <w:r>
        <w:rPr>
          <w:rFonts w:hint="eastAsia" w:ascii="宋体" w:hAnsi="宋体" w:cs="宋体"/>
          <w:b/>
          <w:bCs/>
          <w:color w:val="auto"/>
          <w:sz w:val="24"/>
        </w:rPr>
        <w:t>未按招标文件要求提供投标文件的；</w:t>
      </w:r>
      <w:r>
        <w:rPr>
          <w:rFonts w:ascii="宋体" w:hAnsi="宋体" w:cs="宋体"/>
          <w:b/>
          <w:bCs/>
          <w:color w:val="auto"/>
          <w:sz w:val="24"/>
        </w:rPr>
        <w:br w:type="textWrapping"/>
      </w:r>
      <w:r>
        <w:rPr>
          <w:rFonts w:ascii="宋体" w:hAnsi="宋体" w:cs="宋体"/>
          <w:b/>
          <w:bCs/>
          <w:color w:val="auto"/>
          <w:sz w:val="24"/>
        </w:rPr>
        <w:t xml:space="preserve">    26.21</w:t>
      </w:r>
      <w:r>
        <w:rPr>
          <w:rFonts w:hint="eastAsia" w:ascii="宋体" w:hAnsi="宋体" w:cs="宋体"/>
          <w:b/>
          <w:bCs/>
          <w:color w:val="auto"/>
          <w:sz w:val="24"/>
        </w:rPr>
        <w:t>投标文件关键内容模糊、无法辨认的</w:t>
      </w:r>
      <w:r>
        <w:rPr>
          <w:rFonts w:hint="eastAsia" w:ascii="宋体" w:hAnsi="宋体" w:cs="宋体"/>
          <w:b/>
          <w:bCs/>
          <w:color w:val="auto"/>
          <w:sz w:val="24"/>
          <w:lang w:eastAsia="zh-CN"/>
        </w:rPr>
        <w:t>。</w:t>
      </w:r>
    </w:p>
    <w:p w14:paraId="30BBD67F">
      <w:pPr>
        <w:spacing w:line="440" w:lineRule="exact"/>
        <w:ind w:firstLine="482" w:firstLineChars="200"/>
        <w:rPr>
          <w:rFonts w:ascii="宋体" w:hAnsi="宋体"/>
          <w:color w:val="auto"/>
          <w:sz w:val="24"/>
        </w:rPr>
      </w:pPr>
      <w:r>
        <w:rPr>
          <w:rFonts w:ascii="宋体" w:hAnsi="宋体"/>
          <w:b/>
          <w:color w:val="auto"/>
          <w:sz w:val="24"/>
        </w:rPr>
        <w:t>27</w:t>
      </w:r>
      <w:r>
        <w:rPr>
          <w:rFonts w:hint="eastAsia" w:ascii="宋体" w:hAnsi="宋体"/>
          <w:b/>
          <w:color w:val="auto"/>
          <w:sz w:val="24"/>
        </w:rPr>
        <w:t>、</w:t>
      </w:r>
      <w:r>
        <w:rPr>
          <w:rFonts w:ascii="宋体" w:hAnsi="宋体"/>
          <w:color w:val="auto"/>
          <w:sz w:val="24"/>
        </w:rPr>
        <w:t>评标、定标工作由招标人或代理机构组织进行。</w:t>
      </w:r>
    </w:p>
    <w:p w14:paraId="5C93DB2B">
      <w:pPr>
        <w:spacing w:line="440" w:lineRule="exact"/>
        <w:ind w:firstLine="482" w:firstLineChars="200"/>
        <w:rPr>
          <w:rFonts w:ascii="宋体" w:hAnsi="宋体"/>
          <w:color w:val="auto"/>
          <w:sz w:val="24"/>
        </w:rPr>
      </w:pPr>
      <w:r>
        <w:rPr>
          <w:rFonts w:ascii="宋体" w:hAnsi="宋体"/>
          <w:b/>
          <w:color w:val="auto"/>
          <w:sz w:val="24"/>
        </w:rPr>
        <w:t>28</w:t>
      </w:r>
      <w:r>
        <w:rPr>
          <w:rFonts w:hint="eastAsia" w:ascii="宋体" w:hAnsi="宋体"/>
          <w:b/>
          <w:color w:val="auto"/>
          <w:sz w:val="24"/>
        </w:rPr>
        <w:t>、</w:t>
      </w:r>
      <w:r>
        <w:rPr>
          <w:rFonts w:ascii="宋体" w:hAnsi="宋体"/>
          <w:color w:val="auto"/>
          <w:sz w:val="24"/>
        </w:rPr>
        <w:t>投标文件的澄清</w:t>
      </w:r>
    </w:p>
    <w:p w14:paraId="36CB201C">
      <w:pPr>
        <w:pStyle w:val="43"/>
        <w:spacing w:before="0" w:beforeAutospacing="0" w:after="0" w:afterAutospacing="0" w:line="500" w:lineRule="exact"/>
        <w:ind w:firstLine="480" w:firstLineChars="200"/>
        <w:rPr>
          <w:rFonts w:cs="Times New Roman" w:asciiTheme="minorEastAsia" w:hAnsiTheme="minorEastAsia" w:eastAsiaTheme="minorEastAsia"/>
          <w:color w:val="auto"/>
          <w:kern w:val="2"/>
        </w:rPr>
      </w:pPr>
      <w:r>
        <w:rPr>
          <w:rFonts w:hint="eastAsia" w:cs="Times New Roman" w:asciiTheme="minorEastAsia" w:hAnsiTheme="minorEastAsia" w:eastAsiaTheme="minorEastAsia"/>
          <w:color w:val="auto"/>
          <w:kern w:val="2"/>
        </w:rPr>
        <w:t>在评标过程中，评标委员会认为需要，可以书面形式要求投标人对投标文件中的有关问题进行澄清或提供补充说明及有关资料，投标人应作出书面答复。书面答复中不得有变更价格、工期、自报质量等级等实质性内容。</w:t>
      </w:r>
    </w:p>
    <w:p w14:paraId="2CBBBDEA">
      <w:pPr>
        <w:pStyle w:val="43"/>
        <w:spacing w:before="0" w:beforeAutospacing="0" w:after="0" w:afterAutospacing="0" w:line="500" w:lineRule="exact"/>
        <w:ind w:firstLine="480" w:firstLineChars="200"/>
        <w:rPr>
          <w:rFonts w:cs="Times New Roman" w:asciiTheme="minorEastAsia" w:hAnsiTheme="minorEastAsia" w:eastAsiaTheme="minorEastAsia"/>
          <w:color w:val="auto"/>
          <w:kern w:val="2"/>
        </w:rPr>
      </w:pPr>
      <w:r>
        <w:rPr>
          <w:rFonts w:hint="eastAsia" w:cs="Times New Roman" w:asciiTheme="minorEastAsia" w:hAnsiTheme="minorEastAsia" w:eastAsiaTheme="minorEastAsia"/>
          <w:color w:val="auto"/>
          <w:kern w:val="2"/>
        </w:rPr>
        <w:t>书面答复须经投标人法定代表</w:t>
      </w:r>
      <w:r>
        <w:rPr>
          <w:rFonts w:hint="eastAsia" w:asciiTheme="minorEastAsia" w:hAnsiTheme="minorEastAsia" w:eastAsiaTheme="minorEastAsia"/>
          <w:color w:val="auto"/>
          <w:spacing w:val="-2"/>
        </w:rPr>
        <w:t>人或经其授权的委托代理人的签字或加盖印鉴，签字或加盖印鉴的</w:t>
      </w:r>
      <w:r>
        <w:rPr>
          <w:rFonts w:hint="eastAsia" w:cs="Times New Roman" w:asciiTheme="minorEastAsia" w:hAnsiTheme="minorEastAsia" w:eastAsiaTheme="minorEastAsia"/>
          <w:color w:val="auto"/>
          <w:kern w:val="2"/>
        </w:rPr>
        <w:t>书面答复将被视为投标文件的组成部分。投标截止日后，投标人对投标报价或其他实质性内容修正的函件和增加的任何优惠条件，一律不得作为评标、定标的依据。</w:t>
      </w:r>
    </w:p>
    <w:p w14:paraId="34391BDE">
      <w:pPr>
        <w:spacing w:line="440" w:lineRule="exact"/>
        <w:ind w:firstLine="480"/>
        <w:rPr>
          <w:rFonts w:ascii="宋体" w:hAnsi="宋体"/>
          <w:color w:val="auto"/>
          <w:sz w:val="24"/>
        </w:rPr>
      </w:pPr>
      <w:r>
        <w:rPr>
          <w:rFonts w:ascii="宋体" w:hAnsi="宋体"/>
          <w:b/>
          <w:color w:val="auto"/>
          <w:sz w:val="24"/>
        </w:rPr>
        <w:t>29</w:t>
      </w:r>
      <w:r>
        <w:rPr>
          <w:rFonts w:hint="eastAsia" w:ascii="宋体" w:hAnsi="宋体"/>
          <w:b/>
          <w:color w:val="auto"/>
          <w:sz w:val="24"/>
        </w:rPr>
        <w:t>、</w:t>
      </w:r>
      <w:r>
        <w:rPr>
          <w:rFonts w:ascii="宋体" w:hAnsi="宋体"/>
          <w:color w:val="auto"/>
          <w:sz w:val="24"/>
        </w:rPr>
        <w:t>评标委员会在对实质性响应招标文件要求的投标进行报价评估时，除招标文件另有约定外，应当按下列原则进行修正：(一)投标文件中的大写金额与小写金额不一致，以大写金额为准；(二)总价金额与单价不一致的，以单价金额为准，但单价金额小数点有明显错误的除外；(三)对不同文字文本投标文件的解释发生异议的，以中文文本为准。</w:t>
      </w:r>
    </w:p>
    <w:p w14:paraId="31D4AF0F">
      <w:pPr>
        <w:spacing w:line="440" w:lineRule="exact"/>
        <w:ind w:firstLine="480"/>
        <w:rPr>
          <w:rFonts w:ascii="宋体" w:hAnsi="宋体"/>
          <w:color w:val="auto"/>
          <w:sz w:val="24"/>
        </w:rPr>
      </w:pPr>
      <w:r>
        <w:rPr>
          <w:rFonts w:ascii="宋体" w:hAnsi="宋体"/>
          <w:b/>
          <w:color w:val="auto"/>
          <w:sz w:val="24"/>
        </w:rPr>
        <w:t>30</w:t>
      </w:r>
      <w:r>
        <w:rPr>
          <w:rFonts w:hint="eastAsia" w:ascii="宋体" w:hAnsi="宋体"/>
          <w:b/>
          <w:color w:val="auto"/>
          <w:sz w:val="24"/>
        </w:rPr>
        <w:t>、</w:t>
      </w:r>
      <w:r>
        <w:rPr>
          <w:rFonts w:ascii="宋体" w:hAnsi="宋体"/>
          <w:color w:val="auto"/>
          <w:sz w:val="24"/>
        </w:rPr>
        <w:t>投标报价可以四舍五入到“元”。</w:t>
      </w:r>
    </w:p>
    <w:p w14:paraId="37DBABFD">
      <w:pPr>
        <w:spacing w:line="440" w:lineRule="exact"/>
        <w:ind w:firstLine="480"/>
        <w:rPr>
          <w:rFonts w:ascii="宋体" w:hAnsi="宋体"/>
          <w:color w:val="auto"/>
          <w:sz w:val="24"/>
        </w:rPr>
      </w:pPr>
      <w:r>
        <w:rPr>
          <w:rFonts w:ascii="宋体" w:hAnsi="宋体"/>
          <w:b/>
          <w:color w:val="auto"/>
          <w:sz w:val="24"/>
        </w:rPr>
        <w:t>31</w:t>
      </w:r>
      <w:r>
        <w:rPr>
          <w:rFonts w:hint="eastAsia" w:ascii="宋体" w:hAnsi="宋体"/>
          <w:b/>
          <w:color w:val="auto"/>
          <w:sz w:val="24"/>
        </w:rPr>
        <w:t>、</w:t>
      </w:r>
      <w:r>
        <w:rPr>
          <w:rFonts w:ascii="宋体" w:hAnsi="宋体"/>
          <w:color w:val="auto"/>
          <w:sz w:val="24"/>
        </w:rPr>
        <w:t>在投标文件的审查、澄清、评价和比较以及授予合同的过程中，投标人对招标人和评标组织成员施加影响的任何行为，都将导致取消其中标资格。</w:t>
      </w:r>
    </w:p>
    <w:p w14:paraId="02CC7417">
      <w:pPr>
        <w:widowControl/>
        <w:spacing w:line="440" w:lineRule="exact"/>
        <w:ind w:firstLine="482" w:firstLineChars="200"/>
        <w:rPr>
          <w:rFonts w:ascii="宋体" w:hAnsi="宋体"/>
          <w:bCs/>
          <w:color w:val="auto"/>
          <w:spacing w:val="-2"/>
          <w:sz w:val="24"/>
        </w:rPr>
      </w:pPr>
      <w:r>
        <w:rPr>
          <w:rFonts w:ascii="宋体" w:hAnsi="宋体"/>
          <w:b/>
          <w:color w:val="auto"/>
          <w:sz w:val="24"/>
        </w:rPr>
        <w:t>32</w:t>
      </w:r>
      <w:r>
        <w:rPr>
          <w:rFonts w:hint="eastAsia" w:ascii="宋体" w:hAnsi="宋体"/>
          <w:b/>
          <w:color w:val="auto"/>
          <w:sz w:val="24"/>
        </w:rPr>
        <w:t>、</w:t>
      </w:r>
      <w:r>
        <w:rPr>
          <w:rFonts w:hint="eastAsia" w:ascii="宋体" w:hAnsi="宋体"/>
          <w:bCs/>
          <w:color w:val="auto"/>
          <w:sz w:val="24"/>
        </w:rPr>
        <w:t>评标委员会在评标工作完成后，中标结果在“</w:t>
      </w:r>
      <w:r>
        <w:rPr>
          <w:rFonts w:hint="eastAsia" w:ascii="宋体" w:hAnsi="宋体"/>
          <w:bCs/>
          <w:color w:val="auto"/>
          <w:sz w:val="24"/>
          <w:lang w:eastAsia="zh-CN"/>
        </w:rPr>
        <w:t>南通汽运实业集团有限公司 (https://www.ntqyjt.com.cn/)或南通农副产品物流有限公司 （http://www.ntnfcp.com/）</w:t>
      </w:r>
      <w:r>
        <w:rPr>
          <w:rFonts w:hint="eastAsia" w:ascii="宋体" w:hAnsi="宋体"/>
          <w:bCs/>
          <w:color w:val="auto"/>
          <w:sz w:val="24"/>
        </w:rPr>
        <w:t>”栏公示，公示的时间为三日。</w:t>
      </w:r>
    </w:p>
    <w:p w14:paraId="5670CE96">
      <w:pPr>
        <w:pStyle w:val="3"/>
        <w:spacing w:line="440" w:lineRule="exact"/>
        <w:jc w:val="center"/>
        <w:rPr>
          <w:rFonts w:ascii="宋体" w:hAnsi="宋体" w:eastAsia="宋体"/>
          <w:color w:val="auto"/>
          <w:sz w:val="24"/>
          <w:szCs w:val="24"/>
        </w:rPr>
      </w:pPr>
      <w:r>
        <w:rPr>
          <w:rFonts w:ascii="宋体" w:hAnsi="宋体" w:eastAsia="宋体"/>
          <w:color w:val="auto"/>
          <w:sz w:val="24"/>
          <w:szCs w:val="24"/>
        </w:rPr>
        <w:t>（七）授予合同</w:t>
      </w:r>
    </w:p>
    <w:p w14:paraId="613F7EA5">
      <w:pPr>
        <w:spacing w:line="440" w:lineRule="exact"/>
        <w:ind w:firstLine="480" w:firstLineChars="200"/>
        <w:rPr>
          <w:rFonts w:asciiTheme="minorEastAsia" w:hAnsiTheme="minorEastAsia" w:eastAsiaTheme="minorEastAsia"/>
          <w:color w:val="auto"/>
          <w:sz w:val="24"/>
        </w:rPr>
      </w:pPr>
      <w:bookmarkStart w:id="27" w:name="_Toc404159959"/>
      <w:bookmarkStart w:id="28" w:name="_Toc465181335"/>
      <w:r>
        <w:rPr>
          <w:rFonts w:cs="宋体" w:asciiTheme="minorEastAsia" w:hAnsiTheme="minorEastAsia" w:eastAsiaTheme="minorEastAsia"/>
          <w:color w:val="auto"/>
          <w:sz w:val="24"/>
        </w:rPr>
        <w:t>3</w:t>
      </w:r>
      <w:r>
        <w:rPr>
          <w:rFonts w:hint="eastAsia" w:cs="宋体" w:asciiTheme="minorEastAsia" w:hAnsiTheme="minorEastAsia" w:eastAsiaTheme="minorEastAsia"/>
          <w:color w:val="auto"/>
          <w:sz w:val="24"/>
        </w:rPr>
        <w:t>3、招标人和中标人应当自中标通知书发出之日起</w:t>
      </w:r>
      <w:r>
        <w:rPr>
          <w:rFonts w:hint="eastAsia" w:cs="宋体" w:asciiTheme="minorEastAsia" w:hAnsiTheme="minorEastAsia" w:eastAsiaTheme="minorEastAsia"/>
          <w:color w:val="auto"/>
          <w:sz w:val="24"/>
          <w:lang w:val="en-US" w:eastAsia="zh-CN"/>
        </w:rPr>
        <w:t>1</w:t>
      </w:r>
      <w:r>
        <w:rPr>
          <w:rFonts w:hint="eastAsia" w:cs="宋体" w:asciiTheme="minorEastAsia" w:hAnsiTheme="minorEastAsia" w:eastAsiaTheme="minorEastAsia"/>
          <w:color w:val="auto"/>
          <w:sz w:val="24"/>
        </w:rPr>
        <w:t>0日内，按照招标文件和中标人的投标文件订立书面合同。招标人和中标人不得再订立背离合同实质性内容的其他协议。</w:t>
      </w:r>
    </w:p>
    <w:p w14:paraId="0457D858">
      <w:pPr>
        <w:widowControl/>
        <w:spacing w:line="440" w:lineRule="exact"/>
        <w:ind w:firstLine="480" w:firstLineChars="200"/>
        <w:jc w:val="left"/>
        <w:rPr>
          <w:rFonts w:asciiTheme="minorEastAsia" w:hAnsiTheme="minorEastAsia" w:eastAsiaTheme="minorEastAsia"/>
          <w:color w:val="auto"/>
          <w:sz w:val="24"/>
        </w:rPr>
      </w:pPr>
      <w:r>
        <w:rPr>
          <w:rFonts w:cs="宋体" w:asciiTheme="minorEastAsia" w:hAnsiTheme="minorEastAsia" w:eastAsiaTheme="minorEastAsia"/>
          <w:color w:val="auto"/>
          <w:sz w:val="24"/>
        </w:rPr>
        <w:t>3</w:t>
      </w:r>
      <w:r>
        <w:rPr>
          <w:rFonts w:hint="eastAsia" w:cs="宋体" w:asciiTheme="minorEastAsia" w:hAnsiTheme="minorEastAsia" w:eastAsiaTheme="minorEastAsia"/>
          <w:color w:val="auto"/>
          <w:sz w:val="24"/>
        </w:rPr>
        <w:t>4、</w:t>
      </w:r>
      <w:r>
        <w:rPr>
          <w:rFonts w:hint="eastAsia" w:asciiTheme="minorEastAsia" w:hAnsiTheme="minorEastAsia" w:eastAsiaTheme="minorEastAsia"/>
          <w:color w:val="auto"/>
          <w:sz w:val="24"/>
        </w:rPr>
        <w:t>工程施工招标的中标人除应当按照规定的标准提交履约保证金，</w:t>
      </w:r>
      <w:r>
        <w:rPr>
          <w:rFonts w:hint="eastAsia" w:cs="宋体" w:asciiTheme="minorEastAsia" w:hAnsiTheme="minorEastAsia" w:eastAsiaTheme="minorEastAsia"/>
          <w:color w:val="auto"/>
          <w:sz w:val="24"/>
        </w:rPr>
        <w:t>中标通知书发出后5日内须齐交履约</w:t>
      </w:r>
      <w:r>
        <w:rPr>
          <w:rFonts w:hint="eastAsia" w:cs="宋体" w:asciiTheme="minorEastAsia" w:hAnsiTheme="minorEastAsia" w:eastAsiaTheme="minorEastAsia"/>
          <w:color w:val="auto"/>
          <w:sz w:val="24"/>
          <w:lang w:eastAsia="zh-CN"/>
        </w:rPr>
        <w:t>保证金</w:t>
      </w:r>
      <w:r>
        <w:rPr>
          <w:rFonts w:hint="eastAsia" w:cs="宋体" w:asciiTheme="minorEastAsia" w:hAnsiTheme="minorEastAsia" w:eastAsiaTheme="minorEastAsia"/>
          <w:color w:val="auto"/>
          <w:sz w:val="24"/>
        </w:rPr>
        <w:t>，否则作自动放弃中标资格处理。</w:t>
      </w:r>
    </w:p>
    <w:p w14:paraId="5357D3E1">
      <w:pPr>
        <w:spacing w:line="440" w:lineRule="exact"/>
        <w:ind w:firstLine="480"/>
        <w:rPr>
          <w:rFonts w:asciiTheme="minorEastAsia" w:hAnsiTheme="minorEastAsia" w:eastAsiaTheme="minorEastAsia"/>
          <w:color w:val="auto"/>
          <w:sz w:val="24"/>
        </w:rPr>
      </w:pPr>
      <w:r>
        <w:rPr>
          <w:rFonts w:cs="宋体" w:asciiTheme="minorEastAsia" w:hAnsiTheme="minorEastAsia" w:eastAsiaTheme="minorEastAsia"/>
          <w:color w:val="auto"/>
          <w:sz w:val="24"/>
        </w:rPr>
        <w:t>3</w:t>
      </w:r>
      <w:r>
        <w:rPr>
          <w:rFonts w:hint="eastAsia" w:cs="宋体" w:asciiTheme="minorEastAsia" w:hAnsiTheme="minorEastAsia" w:eastAsiaTheme="minorEastAsia"/>
          <w:color w:val="auto"/>
          <w:sz w:val="24"/>
        </w:rPr>
        <w:t>5、若中标人不能按本须知第33、34条款的规定执行，招标人将有充分的理由解除合同，并没收其投标保证金，给招标人造成损失超过投标保证金数额的，还应当对超过部分予以赔偿。</w:t>
      </w:r>
    </w:p>
    <w:p w14:paraId="05089C39">
      <w:pPr>
        <w:spacing w:line="500" w:lineRule="exact"/>
        <w:ind w:right="84" w:rightChars="40" w:firstLine="480" w:firstLineChars="200"/>
        <w:rPr>
          <w:rFonts w:asciiTheme="minorEastAsia" w:hAnsiTheme="minorEastAsia" w:eastAsiaTheme="minorEastAsia"/>
          <w:color w:val="auto"/>
          <w:sz w:val="24"/>
        </w:rPr>
        <w:sectPr>
          <w:pgSz w:w="11907" w:h="16840"/>
          <w:pgMar w:top="1440" w:right="1191" w:bottom="1440" w:left="1418" w:header="720" w:footer="720" w:gutter="0"/>
          <w:cols w:space="425" w:num="1"/>
          <w:docGrid w:linePitch="272" w:charSpace="0"/>
        </w:sectPr>
      </w:pPr>
    </w:p>
    <w:p w14:paraId="3B4E9AFA">
      <w:pPr>
        <w:widowControl/>
        <w:spacing w:line="440" w:lineRule="exact"/>
        <w:jc w:val="center"/>
        <w:rPr>
          <w:rFonts w:ascii="宋体" w:hAnsi="宋体"/>
          <w:b/>
          <w:bCs/>
          <w:color w:val="auto"/>
        </w:rPr>
      </w:pPr>
      <w:r>
        <w:rPr>
          <w:rFonts w:ascii="宋体" w:hAnsi="宋体"/>
          <w:b/>
          <w:bCs/>
          <w:color w:val="auto"/>
          <w:sz w:val="36"/>
          <w:szCs w:val="36"/>
        </w:rPr>
        <w:t>第二章评标办法（</w:t>
      </w:r>
      <w:r>
        <w:rPr>
          <w:rFonts w:hint="eastAsia" w:ascii="宋体" w:hAnsi="宋体"/>
          <w:b/>
          <w:bCs/>
          <w:color w:val="auto"/>
          <w:sz w:val="36"/>
          <w:szCs w:val="36"/>
        </w:rPr>
        <w:t>价格单因素</w:t>
      </w:r>
      <w:r>
        <w:rPr>
          <w:rFonts w:ascii="宋体" w:hAnsi="宋体"/>
          <w:b/>
          <w:bCs/>
          <w:color w:val="auto"/>
          <w:sz w:val="36"/>
          <w:szCs w:val="36"/>
        </w:rPr>
        <w:t>）</w:t>
      </w:r>
      <w:bookmarkEnd w:id="27"/>
      <w:bookmarkEnd w:id="28"/>
    </w:p>
    <w:p w14:paraId="4F5F4D6A">
      <w:pPr>
        <w:spacing w:line="500" w:lineRule="exact"/>
        <w:ind w:left="-424" w:leftChars="-202" w:right="-624" w:rightChars="-297" w:firstLine="960" w:firstLineChars="400"/>
        <w:rPr>
          <w:rFonts w:cs="宋体" w:asciiTheme="minorEastAsia" w:hAnsiTheme="minorEastAsia" w:eastAsiaTheme="minorEastAsia"/>
          <w:bCs/>
          <w:color w:val="auto"/>
          <w:kern w:val="0"/>
          <w:sz w:val="24"/>
        </w:rPr>
      </w:pPr>
      <w:bookmarkStart w:id="29" w:name="_Toc404159960"/>
      <w:r>
        <w:rPr>
          <w:rFonts w:hint="eastAsia" w:cs="宋体" w:asciiTheme="minorEastAsia" w:hAnsiTheme="minorEastAsia" w:eastAsiaTheme="minorEastAsia"/>
          <w:bCs/>
          <w:color w:val="auto"/>
          <w:kern w:val="0"/>
          <w:sz w:val="24"/>
        </w:rPr>
        <w:t>一、本工程评标程序：</w:t>
      </w:r>
    </w:p>
    <w:p w14:paraId="0C83CAA3">
      <w:pPr>
        <w:spacing w:line="500" w:lineRule="exact"/>
        <w:ind w:left="-424" w:leftChars="-202" w:right="-624" w:rightChars="-297" w:firstLine="960" w:firstLineChars="400"/>
        <w:rPr>
          <w:rFonts w:cs="宋体" w:asciiTheme="minorEastAsia" w:hAnsiTheme="minorEastAsia" w:eastAsiaTheme="minorEastAsia"/>
          <w:bCs/>
          <w:color w:val="auto"/>
          <w:kern w:val="0"/>
          <w:sz w:val="24"/>
        </w:rPr>
      </w:pPr>
      <w:r>
        <w:rPr>
          <w:rFonts w:hint="eastAsia" w:cs="宋体" w:asciiTheme="minorEastAsia" w:hAnsiTheme="minorEastAsia" w:eastAsiaTheme="minorEastAsia"/>
          <w:bCs/>
          <w:color w:val="auto"/>
          <w:kern w:val="0"/>
          <w:sz w:val="24"/>
        </w:rPr>
        <w:t>投标人资格审查</w:t>
      </w:r>
      <w:r>
        <w:rPr>
          <w:rFonts w:cs="宋体" w:asciiTheme="minorEastAsia" w:hAnsiTheme="minorEastAsia" w:eastAsiaTheme="minorEastAsia"/>
          <w:bCs/>
          <w:color w:val="auto"/>
          <w:kern w:val="0"/>
          <w:sz w:val="24"/>
        </w:rPr>
        <w:t>—</w:t>
      </w:r>
      <w:r>
        <w:rPr>
          <w:rFonts w:hint="eastAsia" w:cs="宋体" w:asciiTheme="minorEastAsia" w:hAnsiTheme="minorEastAsia" w:eastAsiaTheme="minorEastAsia"/>
          <w:bCs/>
          <w:color w:val="auto"/>
          <w:kern w:val="0"/>
          <w:sz w:val="24"/>
        </w:rPr>
        <w:t>商务标评标</w:t>
      </w:r>
      <w:r>
        <w:rPr>
          <w:rFonts w:cs="宋体" w:asciiTheme="minorEastAsia" w:hAnsiTheme="minorEastAsia" w:eastAsiaTheme="minorEastAsia"/>
          <w:bCs/>
          <w:color w:val="auto"/>
          <w:kern w:val="0"/>
          <w:sz w:val="24"/>
        </w:rPr>
        <w:t>—</w:t>
      </w:r>
      <w:r>
        <w:rPr>
          <w:rFonts w:hint="eastAsia" w:cs="宋体" w:asciiTheme="minorEastAsia" w:hAnsiTheme="minorEastAsia" w:eastAsiaTheme="minorEastAsia"/>
          <w:bCs/>
          <w:color w:val="auto"/>
          <w:kern w:val="0"/>
          <w:sz w:val="24"/>
        </w:rPr>
        <w:t>确定中标候选人。</w:t>
      </w:r>
    </w:p>
    <w:p w14:paraId="1772B14E">
      <w:pPr>
        <w:widowControl/>
        <w:spacing w:line="440" w:lineRule="exact"/>
        <w:ind w:firstLine="588" w:firstLineChars="245"/>
        <w:rPr>
          <w:rFonts w:cs="宋体" w:asciiTheme="minorEastAsia" w:hAnsiTheme="minorEastAsia" w:eastAsiaTheme="minorEastAsia"/>
          <w:bCs/>
          <w:color w:val="auto"/>
          <w:kern w:val="0"/>
          <w:sz w:val="24"/>
        </w:rPr>
      </w:pPr>
      <w:r>
        <w:rPr>
          <w:rFonts w:hint="eastAsia" w:cs="宋体" w:asciiTheme="minorEastAsia" w:hAnsiTheme="minorEastAsia" w:eastAsiaTheme="minorEastAsia"/>
          <w:bCs/>
          <w:color w:val="auto"/>
          <w:kern w:val="0"/>
          <w:sz w:val="24"/>
        </w:rPr>
        <w:t>二、投标人资格审查</w:t>
      </w:r>
    </w:p>
    <w:p w14:paraId="3CED8BC2">
      <w:pPr>
        <w:widowControl/>
        <w:spacing w:line="440" w:lineRule="exact"/>
        <w:ind w:firstLine="588" w:firstLineChars="245"/>
        <w:rPr>
          <w:rFonts w:cs="宋体" w:asciiTheme="minorEastAsia" w:hAnsiTheme="minorEastAsia" w:eastAsiaTheme="minorEastAsia"/>
          <w:bCs/>
          <w:color w:val="auto"/>
          <w:kern w:val="0"/>
          <w:sz w:val="24"/>
        </w:rPr>
      </w:pPr>
      <w:r>
        <w:rPr>
          <w:rFonts w:hint="eastAsia" w:cs="宋体" w:asciiTheme="minorEastAsia" w:hAnsiTheme="minorEastAsia" w:eastAsiaTheme="minorEastAsia"/>
          <w:bCs/>
          <w:color w:val="auto"/>
          <w:kern w:val="0"/>
          <w:sz w:val="24"/>
        </w:rPr>
        <w:t>参加本工程投标的投标人全部进入资格审查，由本工程评标委员会根据参加资格审查的投标人递交的资格证明文件，并按照下表所列《资格审查标准表》对投标人的资格进行审查。只有通过资格审查的投标人，方可参加后续的评标。</w:t>
      </w:r>
    </w:p>
    <w:p w14:paraId="1CA74446">
      <w:pPr>
        <w:widowControl/>
        <w:spacing w:line="440" w:lineRule="exact"/>
        <w:jc w:val="center"/>
        <w:rPr>
          <w:rFonts w:cs="宋体" w:asciiTheme="minorEastAsia" w:hAnsiTheme="minorEastAsia" w:eastAsiaTheme="minorEastAsia"/>
          <w:bCs/>
          <w:color w:val="auto"/>
          <w:kern w:val="0"/>
          <w:sz w:val="24"/>
        </w:rPr>
      </w:pPr>
      <w:r>
        <w:rPr>
          <w:rFonts w:hint="eastAsia" w:cs="宋体" w:asciiTheme="minorEastAsia" w:hAnsiTheme="minorEastAsia" w:eastAsiaTheme="minorEastAsia"/>
          <w:bCs/>
          <w:color w:val="auto"/>
          <w:kern w:val="0"/>
          <w:sz w:val="24"/>
        </w:rPr>
        <w:t>资格审查标准表</w:t>
      </w:r>
    </w:p>
    <w:tbl>
      <w:tblPr>
        <w:tblStyle w:val="47"/>
        <w:tblW w:w="9635"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4"/>
        <w:gridCol w:w="1792"/>
        <w:gridCol w:w="2981"/>
        <w:gridCol w:w="4268"/>
      </w:tblGrid>
      <w:tr w14:paraId="0D751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594" w:type="dxa"/>
            <w:vAlign w:val="center"/>
          </w:tcPr>
          <w:p w14:paraId="3C34EDF4">
            <w:pPr>
              <w:keepNext w:val="0"/>
              <w:keepLines w:val="0"/>
              <w:widowControl/>
              <w:suppressLineNumbers w:val="0"/>
              <w:spacing w:before="0" w:beforeAutospacing="0" w:after="0" w:afterAutospacing="0"/>
              <w:ind w:left="0" w:right="0"/>
              <w:jc w:val="center"/>
              <w:rPr>
                <w:rFonts w:hint="default" w:ascii="宋体" w:hAnsi="宋体" w:cs="宋体"/>
                <w:bCs/>
                <w:color w:val="auto"/>
                <w:kern w:val="0"/>
                <w:sz w:val="24"/>
              </w:rPr>
            </w:pPr>
            <w:r>
              <w:rPr>
                <w:rFonts w:hint="eastAsia" w:ascii="宋体" w:hAnsi="宋体" w:cs="宋体"/>
                <w:bCs/>
                <w:color w:val="auto"/>
                <w:kern w:val="0"/>
                <w:sz w:val="24"/>
              </w:rPr>
              <w:t>序号</w:t>
            </w:r>
          </w:p>
        </w:tc>
        <w:tc>
          <w:tcPr>
            <w:tcW w:w="1792" w:type="dxa"/>
            <w:vAlign w:val="center"/>
          </w:tcPr>
          <w:p w14:paraId="1D340324">
            <w:pPr>
              <w:keepNext w:val="0"/>
              <w:keepLines w:val="0"/>
              <w:widowControl/>
              <w:suppressLineNumbers w:val="0"/>
              <w:spacing w:before="0" w:beforeAutospacing="0" w:after="0" w:afterAutospacing="0"/>
              <w:ind w:left="0" w:right="0"/>
              <w:jc w:val="center"/>
              <w:rPr>
                <w:rFonts w:hint="default" w:ascii="宋体" w:hAnsi="宋体" w:cs="宋体"/>
                <w:bCs/>
                <w:color w:val="auto"/>
                <w:kern w:val="0"/>
                <w:sz w:val="24"/>
              </w:rPr>
            </w:pPr>
            <w:r>
              <w:rPr>
                <w:rFonts w:hint="eastAsia" w:ascii="宋体" w:hAnsi="宋体" w:cs="宋体"/>
                <w:bCs/>
                <w:color w:val="auto"/>
                <w:kern w:val="0"/>
                <w:sz w:val="24"/>
              </w:rPr>
              <w:t>项目内容</w:t>
            </w:r>
          </w:p>
        </w:tc>
        <w:tc>
          <w:tcPr>
            <w:tcW w:w="2981" w:type="dxa"/>
            <w:vAlign w:val="center"/>
          </w:tcPr>
          <w:p w14:paraId="7F986B29">
            <w:pPr>
              <w:keepNext w:val="0"/>
              <w:keepLines w:val="0"/>
              <w:widowControl/>
              <w:suppressLineNumbers w:val="0"/>
              <w:spacing w:before="0" w:beforeAutospacing="0" w:after="0" w:afterAutospacing="0"/>
              <w:ind w:left="0" w:right="0" w:firstLine="588" w:firstLineChars="245"/>
              <w:jc w:val="center"/>
              <w:rPr>
                <w:rFonts w:hint="default" w:ascii="宋体" w:hAnsi="宋体" w:cs="宋体"/>
                <w:bCs/>
                <w:color w:val="auto"/>
                <w:kern w:val="0"/>
                <w:sz w:val="24"/>
              </w:rPr>
            </w:pPr>
            <w:r>
              <w:rPr>
                <w:rFonts w:hint="eastAsia" w:ascii="宋体" w:hAnsi="宋体" w:cs="宋体"/>
                <w:bCs/>
                <w:color w:val="auto"/>
                <w:kern w:val="0"/>
                <w:sz w:val="24"/>
              </w:rPr>
              <w:t>合格条件</w:t>
            </w:r>
          </w:p>
        </w:tc>
        <w:tc>
          <w:tcPr>
            <w:tcW w:w="4268" w:type="dxa"/>
            <w:vAlign w:val="center"/>
          </w:tcPr>
          <w:p w14:paraId="1EC80911">
            <w:pPr>
              <w:keepNext w:val="0"/>
              <w:keepLines w:val="0"/>
              <w:widowControl/>
              <w:suppressLineNumbers w:val="0"/>
              <w:spacing w:before="0" w:beforeAutospacing="0" w:after="0" w:afterAutospacing="0"/>
              <w:ind w:left="0" w:right="0"/>
              <w:jc w:val="center"/>
              <w:rPr>
                <w:rFonts w:hint="default" w:ascii="宋体" w:hAnsi="宋体" w:cs="宋体"/>
                <w:bCs/>
                <w:color w:val="auto"/>
                <w:kern w:val="0"/>
                <w:sz w:val="24"/>
              </w:rPr>
            </w:pPr>
            <w:r>
              <w:rPr>
                <w:rFonts w:hint="eastAsia" w:ascii="宋体" w:hAnsi="宋体" w:cs="宋体"/>
                <w:bCs/>
                <w:color w:val="auto"/>
                <w:kern w:val="0"/>
                <w:sz w:val="24"/>
              </w:rPr>
              <w:t>投标人需提供的材料</w:t>
            </w:r>
          </w:p>
        </w:tc>
      </w:tr>
      <w:tr w14:paraId="3444E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594" w:type="dxa"/>
            <w:vAlign w:val="center"/>
          </w:tcPr>
          <w:p w14:paraId="04720B48">
            <w:pPr>
              <w:keepNext w:val="0"/>
              <w:keepLines w:val="0"/>
              <w:widowControl/>
              <w:suppressLineNumbers w:val="0"/>
              <w:spacing w:before="0" w:beforeAutospacing="0" w:after="0" w:afterAutospacing="0"/>
              <w:ind w:left="0" w:right="0" w:firstLine="240" w:firstLineChars="100"/>
              <w:rPr>
                <w:rFonts w:hint="default" w:ascii="宋体" w:hAnsi="宋体" w:cs="宋体"/>
                <w:bCs/>
                <w:color w:val="auto"/>
                <w:kern w:val="0"/>
                <w:sz w:val="24"/>
              </w:rPr>
            </w:pPr>
            <w:r>
              <w:rPr>
                <w:rFonts w:hint="eastAsia" w:ascii="宋体" w:hAnsi="宋体" w:cs="宋体"/>
                <w:bCs/>
                <w:color w:val="auto"/>
                <w:kern w:val="0"/>
                <w:sz w:val="24"/>
              </w:rPr>
              <w:t>1</w:t>
            </w:r>
          </w:p>
        </w:tc>
        <w:tc>
          <w:tcPr>
            <w:tcW w:w="1792" w:type="dxa"/>
            <w:vAlign w:val="center"/>
          </w:tcPr>
          <w:p w14:paraId="4DA58F1A">
            <w:pPr>
              <w:keepNext w:val="0"/>
              <w:keepLines w:val="0"/>
              <w:widowControl/>
              <w:suppressLineNumbers w:val="0"/>
              <w:spacing w:before="0" w:beforeAutospacing="0" w:after="0" w:afterAutospacing="0"/>
              <w:ind w:left="0" w:right="0"/>
              <w:rPr>
                <w:rFonts w:hint="default" w:ascii="宋体" w:hAnsi="宋体" w:cs="宋体"/>
                <w:bCs/>
                <w:color w:val="auto"/>
                <w:kern w:val="0"/>
                <w:sz w:val="24"/>
              </w:rPr>
            </w:pPr>
            <w:r>
              <w:rPr>
                <w:rFonts w:hint="eastAsia" w:ascii="宋体" w:hAnsi="宋体" w:cs="宋体"/>
                <w:bCs/>
                <w:color w:val="auto"/>
                <w:kern w:val="0"/>
                <w:sz w:val="24"/>
              </w:rPr>
              <w:t>营业执照副本</w:t>
            </w:r>
          </w:p>
        </w:tc>
        <w:tc>
          <w:tcPr>
            <w:tcW w:w="2981" w:type="dxa"/>
            <w:vAlign w:val="center"/>
          </w:tcPr>
          <w:p w14:paraId="0F88FF39">
            <w:pPr>
              <w:keepNext w:val="0"/>
              <w:keepLines w:val="0"/>
              <w:widowControl/>
              <w:suppressLineNumbers w:val="0"/>
              <w:spacing w:before="0" w:beforeAutospacing="0" w:after="0" w:afterAutospacing="0"/>
              <w:ind w:left="0" w:right="0"/>
              <w:rPr>
                <w:rFonts w:hint="default" w:ascii="宋体" w:hAnsi="宋体" w:cs="宋体"/>
                <w:bCs/>
                <w:color w:val="auto"/>
                <w:kern w:val="0"/>
                <w:sz w:val="24"/>
              </w:rPr>
            </w:pPr>
            <w:r>
              <w:rPr>
                <w:rFonts w:hint="eastAsia" w:ascii="宋体" w:hAnsi="宋体" w:cs="宋体"/>
                <w:bCs/>
                <w:color w:val="auto"/>
                <w:kern w:val="0"/>
                <w:sz w:val="24"/>
              </w:rPr>
              <w:t>有效法人营业执照（副本）</w:t>
            </w:r>
          </w:p>
        </w:tc>
        <w:tc>
          <w:tcPr>
            <w:tcW w:w="4268" w:type="dxa"/>
            <w:vAlign w:val="center"/>
          </w:tcPr>
          <w:p w14:paraId="7EE239B4">
            <w:pPr>
              <w:keepNext w:val="0"/>
              <w:keepLines w:val="0"/>
              <w:widowControl/>
              <w:suppressLineNumbers w:val="0"/>
              <w:spacing w:before="0" w:beforeAutospacing="0" w:after="0" w:afterAutospacing="0"/>
              <w:ind w:left="0" w:right="0"/>
              <w:rPr>
                <w:rFonts w:hint="default" w:ascii="宋体" w:hAnsi="宋体" w:cs="宋体"/>
                <w:bCs/>
                <w:color w:val="auto"/>
                <w:kern w:val="0"/>
                <w:sz w:val="24"/>
              </w:rPr>
            </w:pPr>
            <w:r>
              <w:rPr>
                <w:rFonts w:hint="eastAsia" w:ascii="宋体" w:hAnsi="宋体" w:cs="宋体"/>
                <w:bCs/>
                <w:color w:val="auto"/>
                <w:kern w:val="0"/>
                <w:sz w:val="24"/>
              </w:rPr>
              <w:t>有效的法人营业执照复印件</w:t>
            </w:r>
          </w:p>
        </w:tc>
      </w:tr>
      <w:tr w14:paraId="0DB5D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594" w:type="dxa"/>
            <w:vAlign w:val="center"/>
          </w:tcPr>
          <w:p w14:paraId="519C755C">
            <w:pPr>
              <w:keepNext w:val="0"/>
              <w:keepLines w:val="0"/>
              <w:widowControl/>
              <w:suppressLineNumbers w:val="0"/>
              <w:spacing w:before="0" w:beforeAutospacing="0" w:after="0" w:afterAutospacing="0"/>
              <w:ind w:left="0" w:right="0" w:firstLine="240" w:firstLineChars="100"/>
              <w:rPr>
                <w:rFonts w:hint="default" w:ascii="宋体" w:hAnsi="宋体" w:cs="宋体"/>
                <w:bCs/>
                <w:color w:val="auto"/>
                <w:kern w:val="0"/>
                <w:sz w:val="24"/>
              </w:rPr>
            </w:pPr>
            <w:r>
              <w:rPr>
                <w:rFonts w:hint="eastAsia" w:ascii="宋体" w:hAnsi="宋体" w:cs="宋体"/>
                <w:bCs/>
                <w:color w:val="auto"/>
                <w:kern w:val="0"/>
                <w:sz w:val="24"/>
              </w:rPr>
              <w:t>2</w:t>
            </w:r>
          </w:p>
        </w:tc>
        <w:tc>
          <w:tcPr>
            <w:tcW w:w="1792" w:type="dxa"/>
            <w:vAlign w:val="center"/>
          </w:tcPr>
          <w:p w14:paraId="45AC7084">
            <w:pPr>
              <w:keepNext w:val="0"/>
              <w:keepLines w:val="0"/>
              <w:widowControl/>
              <w:suppressLineNumbers w:val="0"/>
              <w:spacing w:before="0" w:beforeAutospacing="0" w:after="0" w:afterAutospacing="0" w:line="280" w:lineRule="exact"/>
              <w:ind w:left="0" w:right="0"/>
              <w:rPr>
                <w:rFonts w:hint="default" w:ascii="宋体" w:hAnsi="宋体" w:cs="宋体"/>
                <w:bCs/>
                <w:color w:val="auto"/>
                <w:kern w:val="0"/>
                <w:sz w:val="24"/>
              </w:rPr>
            </w:pPr>
            <w:r>
              <w:rPr>
                <w:rFonts w:hint="eastAsia" w:ascii="宋体" w:hAnsi="宋体" w:cs="宋体"/>
                <w:bCs/>
                <w:color w:val="auto"/>
                <w:kern w:val="0"/>
                <w:sz w:val="24"/>
              </w:rPr>
              <w:t>企业资质类别等级</w:t>
            </w:r>
          </w:p>
        </w:tc>
        <w:tc>
          <w:tcPr>
            <w:tcW w:w="2981" w:type="dxa"/>
            <w:vAlign w:val="center"/>
          </w:tcPr>
          <w:p w14:paraId="1191F0CF">
            <w:pPr>
              <w:keepNext w:val="0"/>
              <w:keepLines w:val="0"/>
              <w:widowControl/>
              <w:suppressLineNumbers w:val="0"/>
              <w:spacing w:before="0" w:beforeAutospacing="0" w:after="0" w:afterAutospacing="0"/>
              <w:ind w:left="0" w:right="0"/>
              <w:rPr>
                <w:rFonts w:hint="eastAsia" w:ascii="宋体" w:hAnsi="宋体" w:cs="宋体"/>
                <w:bCs/>
                <w:color w:val="auto"/>
                <w:kern w:val="0"/>
                <w:sz w:val="24"/>
              </w:rPr>
            </w:pPr>
            <w:r>
              <w:rPr>
                <w:rFonts w:hint="eastAsia" w:ascii="宋体" w:hAnsi="宋体" w:cs="宋体"/>
                <w:bCs/>
                <w:color w:val="auto"/>
                <w:kern w:val="0"/>
                <w:sz w:val="24"/>
                <w:lang w:eastAsia="zh-CN"/>
              </w:rPr>
              <w:t>钢结构工程专业承包二级及以上资质</w:t>
            </w:r>
            <w:r>
              <w:rPr>
                <w:rFonts w:hint="eastAsia" w:ascii="宋体" w:hAnsi="宋体" w:cs="宋体"/>
                <w:bCs/>
                <w:color w:val="auto"/>
                <w:kern w:val="0"/>
                <w:sz w:val="24"/>
              </w:rPr>
              <w:t>。提供有效的企业资质证书。</w:t>
            </w:r>
          </w:p>
        </w:tc>
        <w:tc>
          <w:tcPr>
            <w:tcW w:w="4268" w:type="dxa"/>
            <w:vAlign w:val="center"/>
          </w:tcPr>
          <w:p w14:paraId="0B7B31D7">
            <w:pPr>
              <w:keepNext w:val="0"/>
              <w:keepLines w:val="0"/>
              <w:widowControl/>
              <w:suppressLineNumbers w:val="0"/>
              <w:spacing w:before="0" w:beforeAutospacing="0" w:after="0" w:afterAutospacing="0" w:line="280" w:lineRule="exact"/>
              <w:ind w:left="0" w:right="0"/>
              <w:rPr>
                <w:rFonts w:hint="default" w:ascii="宋体" w:hAnsi="宋体" w:cs="宋体"/>
                <w:bCs/>
                <w:color w:val="auto"/>
                <w:kern w:val="0"/>
                <w:sz w:val="24"/>
              </w:rPr>
            </w:pPr>
            <w:r>
              <w:rPr>
                <w:rFonts w:hint="eastAsia" w:ascii="宋体" w:hAnsi="宋体" w:cs="宋体"/>
                <w:bCs/>
                <w:color w:val="auto"/>
                <w:kern w:val="0"/>
                <w:sz w:val="24"/>
              </w:rPr>
              <w:t>有效的企业资质证书复印件</w:t>
            </w:r>
          </w:p>
        </w:tc>
      </w:tr>
      <w:tr w14:paraId="6C0F5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594" w:type="dxa"/>
            <w:vAlign w:val="center"/>
          </w:tcPr>
          <w:p w14:paraId="7AF6F049">
            <w:pPr>
              <w:keepNext w:val="0"/>
              <w:keepLines w:val="0"/>
              <w:widowControl/>
              <w:suppressLineNumbers w:val="0"/>
              <w:spacing w:before="0" w:beforeAutospacing="0" w:after="0" w:afterAutospacing="0"/>
              <w:ind w:left="0" w:right="0"/>
              <w:jc w:val="center"/>
              <w:rPr>
                <w:rFonts w:hint="default" w:ascii="宋体" w:hAnsi="宋体" w:cs="宋体"/>
                <w:bCs/>
                <w:color w:val="auto"/>
                <w:kern w:val="0"/>
                <w:sz w:val="24"/>
              </w:rPr>
            </w:pPr>
            <w:r>
              <w:rPr>
                <w:rFonts w:hint="eastAsia" w:ascii="宋体" w:hAnsi="宋体" w:cs="宋体"/>
                <w:bCs/>
                <w:color w:val="auto"/>
                <w:kern w:val="0"/>
                <w:sz w:val="24"/>
              </w:rPr>
              <w:t>3</w:t>
            </w:r>
          </w:p>
        </w:tc>
        <w:tc>
          <w:tcPr>
            <w:tcW w:w="1792" w:type="dxa"/>
            <w:vAlign w:val="center"/>
          </w:tcPr>
          <w:p w14:paraId="7FEE4A12">
            <w:pPr>
              <w:keepNext w:val="0"/>
              <w:keepLines w:val="0"/>
              <w:widowControl/>
              <w:suppressLineNumbers w:val="0"/>
              <w:spacing w:before="0" w:beforeAutospacing="0" w:after="0" w:afterAutospacing="0"/>
              <w:ind w:left="0" w:right="0"/>
              <w:rPr>
                <w:rFonts w:hint="default" w:ascii="宋体" w:hAnsi="宋体" w:cs="宋体"/>
                <w:bCs/>
                <w:color w:val="auto"/>
                <w:kern w:val="0"/>
                <w:sz w:val="24"/>
              </w:rPr>
            </w:pPr>
            <w:r>
              <w:rPr>
                <w:rFonts w:hint="eastAsia" w:ascii="宋体" w:hAnsi="宋体" w:cs="宋体"/>
                <w:bCs/>
                <w:color w:val="auto"/>
                <w:kern w:val="0"/>
                <w:sz w:val="24"/>
              </w:rPr>
              <w:t>企业安全生产许可证</w:t>
            </w:r>
          </w:p>
        </w:tc>
        <w:tc>
          <w:tcPr>
            <w:tcW w:w="2981" w:type="dxa"/>
            <w:vAlign w:val="center"/>
          </w:tcPr>
          <w:p w14:paraId="712B09D4">
            <w:pPr>
              <w:keepNext w:val="0"/>
              <w:keepLines w:val="0"/>
              <w:widowControl/>
              <w:suppressLineNumbers w:val="0"/>
              <w:spacing w:before="0" w:beforeAutospacing="0" w:after="0" w:afterAutospacing="0" w:line="280" w:lineRule="exact"/>
              <w:ind w:left="0" w:right="0"/>
              <w:rPr>
                <w:rFonts w:hint="default" w:ascii="宋体" w:hAnsi="宋体" w:cs="宋体"/>
                <w:bCs/>
                <w:color w:val="auto"/>
                <w:kern w:val="0"/>
                <w:sz w:val="24"/>
              </w:rPr>
            </w:pPr>
            <w:r>
              <w:rPr>
                <w:rFonts w:hint="eastAsia" w:ascii="宋体" w:hAnsi="宋体" w:cs="宋体"/>
                <w:bCs/>
                <w:color w:val="auto"/>
                <w:kern w:val="0"/>
                <w:sz w:val="24"/>
              </w:rPr>
              <w:t>企业具备安全生产条件，并取得安全生产许可证</w:t>
            </w:r>
          </w:p>
        </w:tc>
        <w:tc>
          <w:tcPr>
            <w:tcW w:w="4268" w:type="dxa"/>
            <w:vAlign w:val="center"/>
          </w:tcPr>
          <w:p w14:paraId="2D52E9E6">
            <w:pPr>
              <w:keepNext w:val="0"/>
              <w:keepLines w:val="0"/>
              <w:widowControl/>
              <w:suppressLineNumbers w:val="0"/>
              <w:spacing w:before="0" w:beforeAutospacing="0" w:after="0" w:afterAutospacing="0"/>
              <w:ind w:left="0" w:right="0"/>
              <w:rPr>
                <w:rFonts w:hint="default" w:ascii="宋体" w:hAnsi="宋体" w:cs="宋体"/>
                <w:bCs/>
                <w:color w:val="auto"/>
                <w:kern w:val="0"/>
                <w:sz w:val="24"/>
              </w:rPr>
            </w:pPr>
            <w:r>
              <w:rPr>
                <w:rFonts w:hint="eastAsia" w:ascii="宋体" w:hAnsi="宋体" w:cs="宋体"/>
                <w:bCs/>
                <w:color w:val="auto"/>
                <w:kern w:val="0"/>
                <w:sz w:val="24"/>
              </w:rPr>
              <w:t>有效的企业安全生产许可证复印件</w:t>
            </w:r>
          </w:p>
        </w:tc>
      </w:tr>
      <w:tr w14:paraId="4F420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0" w:hRule="atLeast"/>
        </w:trPr>
        <w:tc>
          <w:tcPr>
            <w:tcW w:w="594" w:type="dxa"/>
            <w:vAlign w:val="center"/>
          </w:tcPr>
          <w:p w14:paraId="20A760FB">
            <w:pPr>
              <w:keepNext w:val="0"/>
              <w:keepLines w:val="0"/>
              <w:widowControl/>
              <w:suppressLineNumbers w:val="0"/>
              <w:spacing w:before="0" w:beforeAutospacing="0" w:after="0" w:afterAutospacing="0"/>
              <w:ind w:left="0" w:right="0"/>
              <w:jc w:val="center"/>
              <w:rPr>
                <w:rFonts w:hint="default" w:ascii="宋体" w:hAnsi="宋体" w:cs="宋体"/>
                <w:bCs/>
                <w:color w:val="auto"/>
                <w:kern w:val="0"/>
                <w:sz w:val="24"/>
              </w:rPr>
            </w:pPr>
            <w:r>
              <w:rPr>
                <w:rFonts w:hint="eastAsia" w:ascii="宋体" w:hAnsi="宋体" w:cs="宋体"/>
                <w:bCs/>
                <w:color w:val="auto"/>
                <w:kern w:val="0"/>
                <w:sz w:val="24"/>
              </w:rPr>
              <w:t>4</w:t>
            </w:r>
          </w:p>
        </w:tc>
        <w:tc>
          <w:tcPr>
            <w:tcW w:w="1792" w:type="dxa"/>
            <w:vAlign w:val="center"/>
          </w:tcPr>
          <w:p w14:paraId="60C033DE">
            <w:pPr>
              <w:keepNext w:val="0"/>
              <w:keepLines w:val="0"/>
              <w:widowControl/>
              <w:suppressLineNumbers w:val="0"/>
              <w:spacing w:before="0" w:beforeAutospacing="0" w:after="0" w:afterAutospacing="0"/>
              <w:ind w:left="0" w:right="0"/>
              <w:rPr>
                <w:rFonts w:hint="default" w:ascii="宋体" w:hAnsi="宋体" w:cs="宋体"/>
                <w:bCs/>
                <w:color w:val="auto"/>
                <w:kern w:val="0"/>
                <w:sz w:val="24"/>
              </w:rPr>
            </w:pPr>
            <w:r>
              <w:rPr>
                <w:rFonts w:hint="eastAsia" w:ascii="宋体" w:hAnsi="宋体" w:cs="宋体"/>
                <w:bCs/>
                <w:color w:val="auto"/>
                <w:kern w:val="0"/>
                <w:sz w:val="24"/>
              </w:rPr>
              <w:t>拟派项目负责人资质等级</w:t>
            </w:r>
          </w:p>
        </w:tc>
        <w:tc>
          <w:tcPr>
            <w:tcW w:w="2981" w:type="dxa"/>
            <w:vAlign w:val="center"/>
          </w:tcPr>
          <w:p w14:paraId="5A29DB1C">
            <w:pPr>
              <w:keepNext w:val="0"/>
              <w:keepLines w:val="0"/>
              <w:widowControl/>
              <w:suppressLineNumbers w:val="0"/>
              <w:spacing w:before="0" w:beforeAutospacing="0" w:after="0" w:afterAutospacing="0" w:line="280" w:lineRule="exact"/>
              <w:ind w:left="0" w:right="0"/>
              <w:rPr>
                <w:rFonts w:hint="default" w:ascii="宋体" w:hAnsi="宋体" w:cs="宋体"/>
                <w:bCs/>
                <w:color w:val="auto"/>
                <w:kern w:val="0"/>
                <w:sz w:val="24"/>
              </w:rPr>
            </w:pPr>
            <w:r>
              <w:rPr>
                <w:rFonts w:hint="eastAsia" w:ascii="宋体" w:hAnsi="宋体" w:cs="宋体"/>
                <w:bCs/>
                <w:color w:val="auto"/>
                <w:kern w:val="0"/>
                <w:sz w:val="24"/>
                <w:lang w:val="en-US" w:eastAsia="zh-CN"/>
              </w:rPr>
              <w:t>建筑工程专业二级及以上注册建造师</w:t>
            </w:r>
            <w:r>
              <w:rPr>
                <w:rFonts w:hint="eastAsia" w:ascii="宋体" w:hAnsi="宋体" w:cs="宋体"/>
                <w:bCs/>
                <w:color w:val="auto"/>
                <w:kern w:val="0"/>
                <w:sz w:val="24"/>
              </w:rPr>
              <w:t>资质，具备有效的安全生产考核合格证书(B证)</w:t>
            </w:r>
          </w:p>
        </w:tc>
        <w:tc>
          <w:tcPr>
            <w:tcW w:w="4268" w:type="dxa"/>
            <w:vAlign w:val="center"/>
          </w:tcPr>
          <w:p w14:paraId="301CFE7B">
            <w:pPr>
              <w:keepNext w:val="0"/>
              <w:keepLines w:val="0"/>
              <w:widowControl/>
              <w:suppressLineNumbers w:val="0"/>
              <w:spacing w:before="0" w:beforeAutospacing="0" w:after="0" w:afterAutospacing="0"/>
              <w:ind w:left="0" w:right="0"/>
              <w:rPr>
                <w:rFonts w:hint="default" w:cs="宋体" w:asciiTheme="minorEastAsia" w:hAnsiTheme="minorEastAsia" w:eastAsiaTheme="minorEastAsia"/>
                <w:bCs/>
                <w:color w:val="auto"/>
                <w:kern w:val="0"/>
                <w:sz w:val="24"/>
              </w:rPr>
            </w:pPr>
            <w:r>
              <w:rPr>
                <w:rFonts w:hint="eastAsia" w:cs="宋体" w:asciiTheme="minorEastAsia" w:hAnsiTheme="minorEastAsia" w:eastAsiaTheme="minorEastAsia"/>
                <w:bCs/>
                <w:color w:val="auto"/>
                <w:kern w:val="0"/>
                <w:sz w:val="24"/>
              </w:rPr>
              <w:t>有效期内的</w:t>
            </w:r>
            <w:r>
              <w:rPr>
                <w:rFonts w:hint="default" w:cs="宋体" w:asciiTheme="minorEastAsia" w:hAnsiTheme="minorEastAsia" w:eastAsiaTheme="minorEastAsia"/>
                <w:bCs/>
                <w:color w:val="auto"/>
                <w:kern w:val="0"/>
                <w:sz w:val="24"/>
              </w:rPr>
              <w:t>建造师注册证书</w:t>
            </w:r>
            <w:r>
              <w:rPr>
                <w:rFonts w:hint="eastAsia" w:ascii="宋体" w:hAnsi="宋体" w:cs="宋体"/>
                <w:color w:val="auto"/>
                <w:sz w:val="24"/>
              </w:rPr>
              <w:t>复印件（注册单位在投标单位）、</w:t>
            </w:r>
            <w:r>
              <w:rPr>
                <w:rFonts w:hint="default" w:cs="宋体" w:asciiTheme="minorEastAsia" w:hAnsiTheme="minorEastAsia" w:eastAsiaTheme="minorEastAsia"/>
                <w:bCs/>
                <w:color w:val="auto"/>
                <w:kern w:val="0"/>
                <w:sz w:val="24"/>
              </w:rPr>
              <w:t>安全生产考核证</w:t>
            </w:r>
            <w:r>
              <w:rPr>
                <w:rFonts w:hint="eastAsia" w:cs="宋体" w:asciiTheme="minorEastAsia" w:hAnsiTheme="minorEastAsia" w:eastAsiaTheme="minorEastAsia"/>
                <w:bCs/>
                <w:color w:val="auto"/>
                <w:kern w:val="0"/>
                <w:sz w:val="24"/>
              </w:rPr>
              <w:t>(B证)</w:t>
            </w:r>
          </w:p>
          <w:p w14:paraId="0804992A">
            <w:pPr>
              <w:pStyle w:val="56"/>
              <w:keepNext w:val="0"/>
              <w:keepLines w:val="0"/>
              <w:suppressLineNumbers w:val="0"/>
              <w:spacing w:before="0" w:beforeAutospacing="0" w:after="0" w:afterAutospacing="0" w:line="240" w:lineRule="auto"/>
              <w:ind w:left="0" w:right="0"/>
              <w:rPr>
                <w:rFonts w:hint="default" w:cs="宋体"/>
                <w:color w:val="auto"/>
              </w:rPr>
            </w:pPr>
            <w:r>
              <w:rPr>
                <w:rFonts w:hint="eastAsia" w:cs="宋体" w:asciiTheme="minorEastAsia" w:hAnsiTheme="minorEastAsia" w:eastAsiaTheme="minorEastAsia"/>
                <w:b/>
                <w:bCs/>
                <w:color w:val="auto"/>
                <w:kern w:val="0"/>
                <w:sz w:val="21"/>
                <w:szCs w:val="21"/>
              </w:rPr>
              <w:t>特别提醒：1</w:t>
            </w:r>
            <w:r>
              <w:rPr>
                <w:rFonts w:hint="default" w:cs="宋体" w:asciiTheme="minorEastAsia" w:hAnsiTheme="minorEastAsia" w:eastAsiaTheme="minorEastAsia"/>
                <w:b/>
                <w:bCs/>
                <w:color w:val="auto"/>
                <w:kern w:val="0"/>
                <w:sz w:val="21"/>
                <w:szCs w:val="21"/>
              </w:rPr>
              <w:t>.</w:t>
            </w:r>
            <w:r>
              <w:rPr>
                <w:rFonts w:hint="eastAsia"/>
                <w:color w:val="auto"/>
                <w:sz w:val="21"/>
                <w:szCs w:val="21"/>
              </w:rPr>
              <w:t xml:space="preserve"> </w:t>
            </w:r>
            <w:r>
              <w:rPr>
                <w:rFonts w:hint="eastAsia" w:cs="宋体" w:asciiTheme="minorEastAsia" w:hAnsiTheme="minorEastAsia" w:eastAsiaTheme="minorEastAsia"/>
                <w:b/>
                <w:bCs/>
                <w:color w:val="auto"/>
                <w:kern w:val="0"/>
                <w:sz w:val="21"/>
                <w:szCs w:val="21"/>
              </w:rPr>
              <w:t>本工程投标人拟派项目负责人为江苏省二级注册建造师的，必须根据《省住房和城乡建设厅关于我省二级建造师、二级造价工程师、二级注册建筑师、二级注册结构工程师证书电子证照换发的公告》（(2023)第26号）文件要求使用并提供证书，如未按文件要求提供证书，该证书无效，视为项目负责人的资格不符合要求。（(2023)第26号）文件内容详见本章附件A。</w:t>
            </w:r>
            <w:r>
              <w:rPr>
                <w:rFonts w:hint="default" w:cs="宋体" w:asciiTheme="minorEastAsia" w:hAnsiTheme="minorEastAsia" w:eastAsiaTheme="minorEastAsia"/>
                <w:b/>
                <w:bCs/>
                <w:color w:val="auto"/>
                <w:kern w:val="0"/>
                <w:sz w:val="21"/>
                <w:szCs w:val="21"/>
              </w:rPr>
              <w:t>2.</w:t>
            </w:r>
            <w:r>
              <w:rPr>
                <w:rFonts w:hint="eastAsia" w:cs="宋体" w:asciiTheme="minorEastAsia" w:hAnsiTheme="minorEastAsia" w:eastAsiaTheme="minorEastAsia"/>
                <w:b/>
                <w:bCs/>
                <w:color w:val="auto"/>
                <w:kern w:val="0"/>
                <w:sz w:val="21"/>
                <w:szCs w:val="21"/>
              </w:rPr>
              <w:t>本工程投标人拟派项目负责人为一级注册建造师的，必须根据《办公厅关于全面实行一级建造师电子注册证书的通知》（建办市〔2021〕40号）文件要求使用并提供电子证书，如未按文件要求提供电子证书，该电子证书无效，视为项目负责人的资格不符合要求。（建办市〔2021〕40号）文件内容详见本章附件B。</w:t>
            </w:r>
          </w:p>
        </w:tc>
      </w:tr>
      <w:tr w14:paraId="7CDBE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trPr>
        <w:tc>
          <w:tcPr>
            <w:tcW w:w="594" w:type="dxa"/>
            <w:vAlign w:val="center"/>
          </w:tcPr>
          <w:p w14:paraId="4193B2B5">
            <w:pPr>
              <w:keepNext w:val="0"/>
              <w:keepLines w:val="0"/>
              <w:widowControl/>
              <w:suppressLineNumbers w:val="0"/>
              <w:spacing w:before="0" w:beforeAutospacing="0" w:after="0" w:afterAutospacing="0"/>
              <w:ind w:left="0" w:right="0"/>
              <w:jc w:val="center"/>
              <w:rPr>
                <w:rFonts w:hint="default" w:ascii="宋体" w:hAnsi="宋体" w:cs="宋体"/>
                <w:bCs/>
                <w:color w:val="auto"/>
                <w:kern w:val="0"/>
                <w:sz w:val="24"/>
              </w:rPr>
            </w:pPr>
            <w:r>
              <w:rPr>
                <w:rFonts w:hint="eastAsia" w:ascii="宋体" w:hAnsi="宋体" w:cs="宋体"/>
                <w:bCs/>
                <w:color w:val="auto"/>
                <w:kern w:val="0"/>
                <w:sz w:val="24"/>
              </w:rPr>
              <w:t>5</w:t>
            </w:r>
          </w:p>
        </w:tc>
        <w:tc>
          <w:tcPr>
            <w:tcW w:w="1792" w:type="dxa"/>
            <w:vAlign w:val="center"/>
          </w:tcPr>
          <w:p w14:paraId="60D7C15C">
            <w:pPr>
              <w:keepNext w:val="0"/>
              <w:keepLines w:val="0"/>
              <w:widowControl/>
              <w:suppressLineNumbers w:val="0"/>
              <w:spacing w:before="0" w:beforeAutospacing="0" w:after="0" w:afterAutospacing="0" w:line="0" w:lineRule="atLeast"/>
              <w:ind w:left="0" w:right="0"/>
              <w:jc w:val="left"/>
              <w:rPr>
                <w:rFonts w:hint="default" w:ascii="宋体" w:hAnsi="宋体" w:cs="宋体"/>
                <w:bCs/>
                <w:color w:val="auto"/>
                <w:kern w:val="0"/>
                <w:sz w:val="24"/>
              </w:rPr>
            </w:pPr>
            <w:r>
              <w:rPr>
                <w:rFonts w:hint="eastAsia" w:ascii="宋体" w:hAnsi="宋体" w:cs="宋体"/>
                <w:color w:val="auto"/>
                <w:sz w:val="24"/>
              </w:rPr>
              <w:t>拟派项目负责人为投标企业正式人员</w:t>
            </w:r>
          </w:p>
        </w:tc>
        <w:tc>
          <w:tcPr>
            <w:tcW w:w="2981" w:type="dxa"/>
            <w:vAlign w:val="center"/>
          </w:tcPr>
          <w:p w14:paraId="4FD81638">
            <w:pPr>
              <w:keepNext w:val="0"/>
              <w:keepLines w:val="0"/>
              <w:widowControl/>
              <w:suppressLineNumbers w:val="0"/>
              <w:spacing w:before="0" w:beforeAutospacing="0" w:after="0" w:afterAutospacing="0" w:line="280" w:lineRule="exact"/>
              <w:ind w:left="0" w:right="0"/>
              <w:rPr>
                <w:rFonts w:hint="default" w:ascii="宋体" w:hAnsi="宋体" w:cs="宋体"/>
                <w:bCs/>
                <w:color w:val="auto"/>
                <w:kern w:val="0"/>
                <w:sz w:val="24"/>
              </w:rPr>
            </w:pPr>
            <w:r>
              <w:rPr>
                <w:rFonts w:hint="eastAsia" w:ascii="宋体" w:hAnsi="宋体" w:cs="宋体"/>
                <w:bCs/>
                <w:color w:val="auto"/>
                <w:kern w:val="0"/>
                <w:sz w:val="24"/>
              </w:rPr>
              <w:t>项目负责人不得同时在两个或者两个以上单位受聘或者执业。</w:t>
            </w:r>
          </w:p>
        </w:tc>
        <w:tc>
          <w:tcPr>
            <w:tcW w:w="4268" w:type="dxa"/>
            <w:vAlign w:val="center"/>
          </w:tcPr>
          <w:p w14:paraId="456A8B8D">
            <w:pPr>
              <w:keepNext w:val="0"/>
              <w:keepLines w:val="0"/>
              <w:widowControl/>
              <w:suppressLineNumbers w:val="0"/>
              <w:spacing w:before="0" w:beforeAutospacing="0" w:after="0" w:afterAutospacing="0" w:line="0" w:lineRule="atLeast"/>
              <w:ind w:left="0" w:right="0"/>
              <w:jc w:val="left"/>
              <w:rPr>
                <w:rFonts w:hint="default" w:ascii="宋体" w:hAnsi="宋体" w:cs="宋体"/>
                <w:bCs/>
                <w:color w:val="auto"/>
                <w:kern w:val="0"/>
                <w:sz w:val="24"/>
              </w:rPr>
            </w:pPr>
            <w:r>
              <w:rPr>
                <w:rFonts w:hint="eastAsia" w:ascii="宋体" w:hAnsi="宋体" w:cs="宋体"/>
                <w:color w:val="auto"/>
                <w:sz w:val="24"/>
              </w:rPr>
              <w:t>投标企业与拟派项目负责人双方签订的有效劳动合同书</w:t>
            </w:r>
            <w:r>
              <w:rPr>
                <w:rFonts w:hint="eastAsia" w:ascii="宋体" w:hAnsi="宋体" w:cs="宋体"/>
                <w:bCs/>
                <w:color w:val="auto"/>
                <w:kern w:val="0"/>
                <w:sz w:val="24"/>
              </w:rPr>
              <w:t>复印件</w:t>
            </w:r>
            <w:r>
              <w:rPr>
                <w:rFonts w:hint="eastAsia" w:ascii="宋体" w:hAnsi="宋体" w:cs="宋体"/>
                <w:color w:val="auto"/>
                <w:sz w:val="24"/>
              </w:rPr>
              <w:t>。</w:t>
            </w:r>
          </w:p>
        </w:tc>
      </w:tr>
      <w:tr w14:paraId="56182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trPr>
        <w:tc>
          <w:tcPr>
            <w:tcW w:w="594" w:type="dxa"/>
            <w:shd w:val="clear" w:color="auto" w:fill="auto"/>
            <w:vAlign w:val="center"/>
          </w:tcPr>
          <w:p w14:paraId="73573D43">
            <w:pPr>
              <w:keepNext w:val="0"/>
              <w:keepLines w:val="0"/>
              <w:widowControl/>
              <w:suppressLineNumbers w:val="0"/>
              <w:spacing w:before="0" w:beforeAutospacing="0" w:after="0" w:afterAutospacing="0"/>
              <w:ind w:left="0" w:right="0"/>
              <w:jc w:val="center"/>
              <w:rPr>
                <w:rFonts w:hint="default" w:ascii="宋体" w:hAnsi="宋体" w:cs="宋体"/>
                <w:bCs/>
                <w:color w:val="auto"/>
                <w:kern w:val="0"/>
                <w:sz w:val="24"/>
                <w:lang w:val="en-US" w:eastAsia="zh-CN"/>
              </w:rPr>
            </w:pPr>
            <w:r>
              <w:rPr>
                <w:rFonts w:hint="eastAsia" w:ascii="宋体" w:hAnsi="宋体" w:cs="宋体"/>
                <w:bCs/>
                <w:color w:val="auto"/>
                <w:kern w:val="0"/>
                <w:sz w:val="24"/>
                <w:lang w:val="en-US" w:eastAsia="zh-CN"/>
              </w:rPr>
              <w:t>6</w:t>
            </w:r>
          </w:p>
        </w:tc>
        <w:tc>
          <w:tcPr>
            <w:tcW w:w="1792" w:type="dxa"/>
            <w:shd w:val="clear" w:color="auto" w:fill="auto"/>
            <w:vAlign w:val="center"/>
          </w:tcPr>
          <w:p w14:paraId="56F53C73">
            <w:pPr>
              <w:keepNext w:val="0"/>
              <w:keepLines w:val="0"/>
              <w:widowControl/>
              <w:suppressLineNumbers w:val="0"/>
              <w:spacing w:before="0" w:beforeAutospacing="0" w:after="0" w:afterAutospacing="0" w:line="0" w:lineRule="atLeast"/>
              <w:ind w:left="0" w:right="0"/>
              <w:jc w:val="left"/>
              <w:rPr>
                <w:rFonts w:hint="eastAsia" w:ascii="宋体" w:hAnsi="宋体" w:cs="宋体"/>
                <w:color w:val="auto"/>
                <w:sz w:val="24"/>
              </w:rPr>
            </w:pPr>
            <w:r>
              <w:rPr>
                <w:rFonts w:hint="eastAsia" w:cs="宋体" w:asciiTheme="minorEastAsia" w:hAnsiTheme="minorEastAsia" w:eastAsiaTheme="minorEastAsia"/>
                <w:color w:val="auto"/>
                <w:sz w:val="24"/>
              </w:rPr>
              <w:t>业绩证明材料</w:t>
            </w:r>
          </w:p>
        </w:tc>
        <w:tc>
          <w:tcPr>
            <w:tcW w:w="2981" w:type="dxa"/>
            <w:shd w:val="clear" w:color="auto" w:fill="auto"/>
            <w:vAlign w:val="center"/>
          </w:tcPr>
          <w:p w14:paraId="143270B3">
            <w:pPr>
              <w:keepNext w:val="0"/>
              <w:keepLines w:val="0"/>
              <w:widowControl/>
              <w:suppressLineNumbers w:val="0"/>
              <w:spacing w:before="0" w:beforeAutospacing="0" w:after="0" w:afterAutospacing="0" w:line="280" w:lineRule="exact"/>
              <w:ind w:left="0" w:right="0"/>
              <w:rPr>
                <w:rFonts w:hint="eastAsia" w:ascii="宋体" w:hAnsi="宋体" w:cs="宋体"/>
                <w:color w:val="auto"/>
                <w:sz w:val="24"/>
                <w:highlight w:val="none"/>
              </w:rPr>
            </w:pPr>
            <w:r>
              <w:rPr>
                <w:rFonts w:hint="eastAsia" w:ascii="宋体" w:hAnsi="宋体"/>
                <w:color w:val="auto"/>
                <w:sz w:val="24"/>
                <w:highlight w:val="none"/>
              </w:rPr>
              <w:t>投标人自</w:t>
            </w:r>
            <w:r>
              <w:rPr>
                <w:rFonts w:hint="eastAsia" w:ascii="宋体" w:hAnsi="宋体"/>
                <w:color w:val="auto"/>
                <w:sz w:val="24"/>
                <w:highlight w:val="none"/>
                <w:lang w:eastAsia="zh-CN"/>
              </w:rPr>
              <w:t>2023年9月1日起至投标截止日期（以合同签订时间为准），承担过单项合同金额30万元及以上钢结构工程业绩</w:t>
            </w:r>
            <w:r>
              <w:rPr>
                <w:rFonts w:hint="eastAsia" w:ascii="宋体" w:hAnsi="宋体"/>
                <w:color w:val="auto"/>
                <w:sz w:val="24"/>
                <w:highlight w:val="none"/>
              </w:rPr>
              <w:t>。</w:t>
            </w:r>
          </w:p>
        </w:tc>
        <w:tc>
          <w:tcPr>
            <w:tcW w:w="4268" w:type="dxa"/>
            <w:shd w:val="clear" w:color="auto" w:fill="auto"/>
            <w:vAlign w:val="center"/>
          </w:tcPr>
          <w:p w14:paraId="2900A1BD">
            <w:pPr>
              <w:keepNext w:val="0"/>
              <w:keepLines w:val="0"/>
              <w:widowControl/>
              <w:suppressLineNumbers w:val="0"/>
              <w:spacing w:before="0" w:beforeAutospacing="0" w:after="0" w:afterAutospacing="0" w:line="0" w:lineRule="atLeast"/>
              <w:ind w:left="0" w:right="0"/>
              <w:jc w:val="left"/>
              <w:rPr>
                <w:rFonts w:hint="eastAsia" w:ascii="宋体" w:hAnsi="宋体" w:cs="宋体"/>
                <w:color w:val="auto"/>
                <w:sz w:val="24"/>
                <w:highlight w:val="none"/>
              </w:rPr>
            </w:pPr>
            <w:r>
              <w:rPr>
                <w:rFonts w:hint="eastAsia" w:ascii="宋体" w:hAnsi="宋体"/>
                <w:color w:val="auto"/>
                <w:sz w:val="24"/>
                <w:highlight w:val="none"/>
              </w:rPr>
              <w:t>同时提供中标通知书(直接发包项目可不提供中标通知书，但须提供发包人出具的加盖单位公章的直接发包证明)、施工合同及竣工验收证明</w:t>
            </w:r>
            <w:r>
              <w:rPr>
                <w:rFonts w:hint="eastAsia" w:ascii="宋体" w:hAnsi="宋体" w:cs="宋体"/>
                <w:bCs/>
                <w:color w:val="auto"/>
                <w:kern w:val="0"/>
                <w:sz w:val="24"/>
                <w:highlight w:val="none"/>
              </w:rPr>
              <w:t>复印件</w:t>
            </w:r>
            <w:r>
              <w:rPr>
                <w:rFonts w:hint="eastAsia" w:ascii="宋体" w:hAnsi="宋体"/>
                <w:color w:val="auto"/>
                <w:sz w:val="24"/>
                <w:highlight w:val="none"/>
              </w:rPr>
              <w:t>。</w:t>
            </w:r>
          </w:p>
        </w:tc>
      </w:tr>
      <w:tr w14:paraId="58AF3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trPr>
        <w:tc>
          <w:tcPr>
            <w:tcW w:w="594" w:type="dxa"/>
            <w:shd w:val="clear" w:color="auto" w:fill="auto"/>
            <w:vAlign w:val="center"/>
          </w:tcPr>
          <w:p w14:paraId="3EAAB098">
            <w:pPr>
              <w:keepNext w:val="0"/>
              <w:keepLines w:val="0"/>
              <w:widowControl/>
              <w:suppressLineNumbers w:val="0"/>
              <w:spacing w:before="0" w:beforeAutospacing="0" w:after="0" w:afterAutospacing="0"/>
              <w:ind w:left="0" w:right="0"/>
              <w:jc w:val="center"/>
              <w:rPr>
                <w:rFonts w:hint="default" w:ascii="宋体" w:hAnsi="宋体" w:cs="宋体"/>
                <w:bCs/>
                <w:color w:val="auto"/>
                <w:kern w:val="0"/>
                <w:sz w:val="24"/>
                <w:lang w:val="en-US" w:eastAsia="zh-CN"/>
              </w:rPr>
            </w:pPr>
            <w:r>
              <w:rPr>
                <w:rFonts w:hint="eastAsia" w:ascii="宋体" w:hAnsi="宋体" w:cs="宋体"/>
                <w:bCs/>
                <w:color w:val="auto"/>
                <w:kern w:val="0"/>
                <w:sz w:val="24"/>
                <w:lang w:val="en-US" w:eastAsia="zh-CN"/>
              </w:rPr>
              <w:t>7</w:t>
            </w:r>
          </w:p>
        </w:tc>
        <w:tc>
          <w:tcPr>
            <w:tcW w:w="1792" w:type="dxa"/>
            <w:shd w:val="clear" w:color="auto" w:fill="auto"/>
            <w:vAlign w:val="center"/>
          </w:tcPr>
          <w:p w14:paraId="70597437">
            <w:pPr>
              <w:keepNext w:val="0"/>
              <w:keepLines w:val="0"/>
              <w:widowControl/>
              <w:suppressLineNumbers w:val="0"/>
              <w:spacing w:before="0" w:beforeAutospacing="0" w:after="0" w:afterAutospacing="0" w:line="0" w:lineRule="atLeast"/>
              <w:ind w:left="0" w:right="0"/>
              <w:jc w:val="left"/>
              <w:rPr>
                <w:rFonts w:hint="eastAsia" w:ascii="宋体" w:hAnsi="宋体" w:eastAsia="宋体" w:cs="宋体"/>
                <w:color w:val="auto"/>
                <w:kern w:val="2"/>
                <w:sz w:val="24"/>
                <w:szCs w:val="24"/>
                <w:lang w:val="en-US" w:eastAsia="zh-CN" w:bidi="ar-SA"/>
              </w:rPr>
            </w:pPr>
            <w:r>
              <w:rPr>
                <w:rFonts w:hint="eastAsia" w:ascii="宋体" w:hAnsi="宋体" w:cs="宋体"/>
                <w:color w:val="auto"/>
                <w:sz w:val="24"/>
              </w:rPr>
              <w:t>服务承诺函</w:t>
            </w:r>
          </w:p>
        </w:tc>
        <w:tc>
          <w:tcPr>
            <w:tcW w:w="2981" w:type="dxa"/>
            <w:shd w:val="clear" w:color="auto" w:fill="auto"/>
            <w:vAlign w:val="center"/>
          </w:tcPr>
          <w:p w14:paraId="481AA6DF">
            <w:pPr>
              <w:keepNext w:val="0"/>
              <w:keepLines w:val="0"/>
              <w:widowControl/>
              <w:suppressLineNumbers w:val="0"/>
              <w:spacing w:before="0" w:beforeAutospacing="0" w:after="0" w:afterAutospacing="0" w:line="280" w:lineRule="exact"/>
              <w:ind w:left="0" w:right="0"/>
              <w:rPr>
                <w:rFonts w:hint="eastAsia" w:ascii="宋体" w:hAnsi="宋体" w:eastAsia="宋体" w:cs="宋体"/>
                <w:color w:val="auto"/>
                <w:kern w:val="2"/>
                <w:sz w:val="24"/>
                <w:szCs w:val="24"/>
                <w:lang w:val="en-US" w:eastAsia="zh-CN" w:bidi="ar-SA"/>
              </w:rPr>
            </w:pPr>
            <w:r>
              <w:rPr>
                <w:rFonts w:hint="eastAsia" w:ascii="宋体" w:hAnsi="宋体" w:cs="宋体"/>
                <w:color w:val="auto"/>
                <w:sz w:val="24"/>
              </w:rPr>
              <w:t>服务承诺函</w:t>
            </w:r>
          </w:p>
        </w:tc>
        <w:tc>
          <w:tcPr>
            <w:tcW w:w="4268" w:type="dxa"/>
            <w:shd w:val="clear" w:color="auto" w:fill="auto"/>
            <w:vAlign w:val="center"/>
          </w:tcPr>
          <w:p w14:paraId="3DCB8386">
            <w:pPr>
              <w:keepNext w:val="0"/>
              <w:keepLines w:val="0"/>
              <w:widowControl/>
              <w:suppressLineNumbers w:val="0"/>
              <w:spacing w:before="0" w:beforeAutospacing="0" w:after="0" w:afterAutospacing="0" w:line="0" w:lineRule="atLeast"/>
              <w:ind w:left="0" w:right="0"/>
              <w:jc w:val="left"/>
              <w:rPr>
                <w:rFonts w:hint="eastAsia" w:ascii="宋体" w:hAnsi="宋体" w:eastAsia="宋体" w:cs="宋体"/>
                <w:color w:val="auto"/>
                <w:kern w:val="2"/>
                <w:sz w:val="24"/>
                <w:szCs w:val="24"/>
                <w:lang w:val="en-US" w:eastAsia="zh-CN" w:bidi="ar-SA"/>
              </w:rPr>
            </w:pPr>
            <w:r>
              <w:rPr>
                <w:rFonts w:hint="eastAsia" w:ascii="宋体" w:hAnsi="宋体" w:cs="宋体"/>
                <w:color w:val="auto"/>
                <w:sz w:val="24"/>
              </w:rPr>
              <w:t>服务承诺函（格式见本招标文件第六章）</w:t>
            </w:r>
          </w:p>
        </w:tc>
      </w:tr>
      <w:tr w14:paraId="309BA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0" w:hRule="atLeast"/>
        </w:trPr>
        <w:tc>
          <w:tcPr>
            <w:tcW w:w="9635" w:type="dxa"/>
            <w:gridSpan w:val="4"/>
            <w:vAlign w:val="center"/>
          </w:tcPr>
          <w:p w14:paraId="1DB45BCF">
            <w:pPr>
              <w:keepNext w:val="0"/>
              <w:keepLines w:val="0"/>
              <w:widowControl/>
              <w:suppressLineNumbers w:val="0"/>
              <w:spacing w:before="0" w:beforeAutospacing="0" w:after="0" w:afterAutospacing="0" w:line="400" w:lineRule="exact"/>
              <w:ind w:left="0" w:right="0" w:firstLine="240" w:firstLineChars="100"/>
              <w:jc w:val="left"/>
              <w:rPr>
                <w:rFonts w:hint="default" w:ascii="宋体" w:hAnsi="宋体" w:cs="宋体"/>
                <w:color w:val="auto"/>
                <w:sz w:val="24"/>
              </w:rPr>
            </w:pPr>
            <w:r>
              <w:rPr>
                <w:rFonts w:hint="eastAsia" w:ascii="宋体" w:hAnsi="宋体" w:cs="宋体"/>
                <w:color w:val="auto"/>
                <w:sz w:val="24"/>
              </w:rPr>
              <w:t>注1、1至</w:t>
            </w:r>
            <w:r>
              <w:rPr>
                <w:rFonts w:hint="eastAsia" w:ascii="宋体" w:hAnsi="宋体" w:cs="宋体"/>
                <w:color w:val="auto"/>
                <w:sz w:val="24"/>
                <w:lang w:val="en-US" w:eastAsia="zh-CN"/>
              </w:rPr>
              <w:t>7</w:t>
            </w:r>
            <w:r>
              <w:rPr>
                <w:rFonts w:hint="eastAsia" w:ascii="宋体" w:hAnsi="宋体" w:cs="宋体"/>
                <w:color w:val="auto"/>
                <w:sz w:val="24"/>
              </w:rPr>
              <w:t>项提供以上所有资料的复印件须加盖投标单位公章。</w:t>
            </w:r>
          </w:p>
          <w:p w14:paraId="1E85A3D6">
            <w:pPr>
              <w:keepNext w:val="0"/>
              <w:keepLines w:val="0"/>
              <w:widowControl/>
              <w:suppressLineNumbers w:val="0"/>
              <w:spacing w:before="0" w:beforeAutospacing="0" w:after="0" w:afterAutospacing="0" w:line="400" w:lineRule="exact"/>
              <w:ind w:left="0" w:right="0" w:firstLine="240" w:firstLineChars="100"/>
              <w:jc w:val="left"/>
              <w:rPr>
                <w:rFonts w:hint="default" w:ascii="宋体" w:hAnsi="宋体" w:cs="宋体"/>
                <w:color w:val="auto"/>
                <w:sz w:val="24"/>
              </w:rPr>
            </w:pPr>
            <w:r>
              <w:rPr>
                <w:rFonts w:hint="eastAsia" w:ascii="宋体" w:hAnsi="宋体" w:cs="宋体"/>
                <w:color w:val="auto"/>
                <w:sz w:val="24"/>
              </w:rPr>
              <w:t>注2、资格审查阶段，评标委员会根据资格审查标准、资格审查条件、“资格审查资料包”中的资料进行资格评审，请投标人按照本招标文件要求准确提供全部资料，否则做废标处理。</w:t>
            </w:r>
          </w:p>
          <w:p w14:paraId="370FFD10">
            <w:pPr>
              <w:keepNext w:val="0"/>
              <w:keepLines w:val="0"/>
              <w:widowControl/>
              <w:suppressLineNumbers w:val="0"/>
              <w:spacing w:before="0" w:beforeAutospacing="0" w:after="0" w:afterAutospacing="0" w:line="400" w:lineRule="exact"/>
              <w:ind w:left="0" w:right="0" w:firstLine="240" w:firstLineChars="100"/>
              <w:jc w:val="left"/>
              <w:rPr>
                <w:rFonts w:hint="default" w:ascii="宋体" w:hAnsi="宋体" w:cs="宋体"/>
                <w:color w:val="auto"/>
                <w:sz w:val="24"/>
              </w:rPr>
            </w:pPr>
            <w:r>
              <w:rPr>
                <w:rFonts w:hint="eastAsia" w:ascii="宋体" w:hAnsi="宋体" w:cs="宋体"/>
                <w:color w:val="auto"/>
                <w:sz w:val="24"/>
              </w:rPr>
              <w:t>注3、上述1—</w:t>
            </w:r>
            <w:r>
              <w:rPr>
                <w:rFonts w:hint="eastAsia" w:ascii="宋体" w:hAnsi="宋体" w:cs="宋体"/>
                <w:color w:val="auto"/>
                <w:sz w:val="24"/>
                <w:lang w:val="en-US" w:eastAsia="zh-CN"/>
              </w:rPr>
              <w:t>7</w:t>
            </w:r>
            <w:r>
              <w:rPr>
                <w:rFonts w:hint="eastAsia" w:ascii="宋体" w:hAnsi="宋体" w:cs="宋体"/>
                <w:color w:val="auto"/>
                <w:sz w:val="24"/>
              </w:rPr>
              <w:t>中任何一条不符合要求，则资格审查不通过。</w:t>
            </w:r>
          </w:p>
          <w:p w14:paraId="06E7C9F4">
            <w:pPr>
              <w:keepNext w:val="0"/>
              <w:keepLines w:val="0"/>
              <w:widowControl/>
              <w:suppressLineNumbers w:val="0"/>
              <w:spacing w:before="0" w:beforeAutospacing="0" w:after="0" w:afterAutospacing="0" w:line="400" w:lineRule="exact"/>
              <w:ind w:left="0" w:right="0" w:firstLine="241" w:firstLineChars="100"/>
              <w:jc w:val="left"/>
              <w:rPr>
                <w:rFonts w:hint="default" w:ascii="宋体" w:hAnsi="宋体" w:cs="宋体"/>
                <w:b/>
                <w:color w:val="auto"/>
                <w:kern w:val="0"/>
                <w:sz w:val="24"/>
              </w:rPr>
            </w:pPr>
            <w:r>
              <w:rPr>
                <w:rFonts w:hint="eastAsia" w:ascii="宋体" w:hAnsi="宋体" w:cs="宋体"/>
                <w:b/>
                <w:color w:val="auto"/>
                <w:sz w:val="24"/>
              </w:rPr>
              <w:t>注4、投标人在投标文件递交截止时间当日，建筑业企业资质动态监管结果（本项目资质要求）不处于不合格状态。招标人或招标代理机构在投标文件递交截止时间当日，登录“江苏省建筑市场监管与诚信信息一体化平台”，检查投标人的建筑业企业资质动态监管状态，对动态监管处于不合格状态的投标人进行截图保存，提供给评标委员会，资格审查不通过。</w:t>
            </w:r>
          </w:p>
        </w:tc>
      </w:tr>
    </w:tbl>
    <w:p w14:paraId="04BA75AE">
      <w:pPr>
        <w:spacing w:line="500" w:lineRule="exact"/>
        <w:ind w:right="-483" w:rightChars="-230" w:firstLine="480" w:firstLineChars="200"/>
        <w:rPr>
          <w:rFonts w:cs="宋体" w:asciiTheme="minorEastAsia" w:hAnsiTheme="minorEastAsia" w:eastAsiaTheme="minorEastAsia"/>
          <w:color w:val="auto"/>
          <w:kern w:val="0"/>
          <w:sz w:val="24"/>
        </w:rPr>
      </w:pPr>
      <w:r>
        <w:rPr>
          <w:rFonts w:hint="eastAsia" w:cs="宋体" w:asciiTheme="minorEastAsia" w:hAnsiTheme="minorEastAsia" w:eastAsiaTheme="minorEastAsia"/>
          <w:color w:val="auto"/>
          <w:kern w:val="0"/>
          <w:sz w:val="24"/>
        </w:rPr>
        <w:t>三、商务标（</w:t>
      </w:r>
      <w:r>
        <w:rPr>
          <w:rFonts w:cs="宋体" w:asciiTheme="minorEastAsia" w:hAnsiTheme="minorEastAsia" w:eastAsiaTheme="minorEastAsia"/>
          <w:color w:val="auto"/>
          <w:kern w:val="0"/>
          <w:sz w:val="24"/>
        </w:rPr>
        <w:t>100</w:t>
      </w:r>
      <w:r>
        <w:rPr>
          <w:rFonts w:hint="eastAsia" w:cs="宋体" w:asciiTheme="minorEastAsia" w:hAnsiTheme="minorEastAsia" w:eastAsiaTheme="minorEastAsia"/>
          <w:color w:val="auto"/>
          <w:kern w:val="0"/>
          <w:sz w:val="24"/>
        </w:rPr>
        <w:t>分）：</w:t>
      </w:r>
    </w:p>
    <w:p w14:paraId="121E74E7">
      <w:pPr>
        <w:spacing w:line="500" w:lineRule="exact"/>
        <w:ind w:right="-193" w:rightChars="-92" w:firstLine="482" w:firstLineChars="200"/>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1、有效报价是指投标人的投标报价低于或等于招标人设定的</w:t>
      </w:r>
      <w:r>
        <w:rPr>
          <w:rFonts w:hint="eastAsia" w:asciiTheme="minorEastAsia" w:hAnsiTheme="minorEastAsia" w:eastAsiaTheme="minorEastAsia"/>
          <w:b/>
          <w:bCs/>
          <w:color w:val="auto"/>
          <w:sz w:val="24"/>
          <w:lang w:eastAsia="zh-CN"/>
        </w:rPr>
        <w:t>最高投标限价</w:t>
      </w:r>
      <w:r>
        <w:rPr>
          <w:rFonts w:hint="eastAsia" w:asciiTheme="minorEastAsia" w:hAnsiTheme="minorEastAsia" w:eastAsiaTheme="minorEastAsia"/>
          <w:b/>
          <w:bCs/>
          <w:color w:val="auto"/>
          <w:sz w:val="24"/>
        </w:rPr>
        <w:t>，高于</w:t>
      </w:r>
      <w:r>
        <w:rPr>
          <w:rFonts w:hint="eastAsia" w:asciiTheme="minorEastAsia" w:hAnsiTheme="minorEastAsia" w:eastAsiaTheme="minorEastAsia"/>
          <w:b/>
          <w:bCs/>
          <w:color w:val="auto"/>
          <w:sz w:val="24"/>
          <w:lang w:eastAsia="zh-CN"/>
        </w:rPr>
        <w:t>最高投标限价</w:t>
      </w:r>
      <w:r>
        <w:rPr>
          <w:rFonts w:hint="eastAsia" w:asciiTheme="minorEastAsia" w:hAnsiTheme="minorEastAsia" w:eastAsiaTheme="minorEastAsia"/>
          <w:b/>
          <w:bCs/>
          <w:color w:val="auto"/>
          <w:sz w:val="24"/>
        </w:rPr>
        <w:t>的视为无效报价。</w:t>
      </w:r>
      <w:r>
        <w:rPr>
          <w:rFonts w:hint="eastAsia" w:asciiTheme="minorEastAsia" w:hAnsiTheme="minorEastAsia" w:eastAsiaTheme="minorEastAsia"/>
          <w:b/>
          <w:color w:val="auto"/>
          <w:sz w:val="24"/>
          <w:lang w:eastAsia="zh-CN"/>
        </w:rPr>
        <w:t>最高投标限价</w:t>
      </w:r>
      <w:r>
        <w:rPr>
          <w:rFonts w:hint="eastAsia" w:asciiTheme="minorEastAsia" w:hAnsiTheme="minorEastAsia" w:eastAsiaTheme="minorEastAsia"/>
          <w:b/>
          <w:color w:val="auto"/>
          <w:sz w:val="24"/>
        </w:rPr>
        <w:t>为</w:t>
      </w:r>
      <w:r>
        <w:rPr>
          <w:rFonts w:hint="eastAsia" w:asciiTheme="minorEastAsia" w:hAnsiTheme="minorEastAsia" w:eastAsiaTheme="minorEastAsia"/>
          <w:b/>
          <w:bCs/>
          <w:color w:val="auto"/>
          <w:sz w:val="24"/>
        </w:rPr>
        <w:t>：人民币</w:t>
      </w:r>
      <w:r>
        <w:rPr>
          <w:rFonts w:hint="eastAsia" w:asciiTheme="minorEastAsia" w:hAnsiTheme="minorEastAsia" w:eastAsiaTheme="minorEastAsia"/>
          <w:b/>
          <w:bCs/>
          <w:color w:val="auto"/>
          <w:sz w:val="24"/>
          <w:u w:val="single"/>
          <w:lang w:val="en-US" w:eastAsia="zh-CN"/>
        </w:rPr>
        <w:t>393554.09</w:t>
      </w:r>
      <w:r>
        <w:rPr>
          <w:rFonts w:hint="eastAsia" w:asciiTheme="minorEastAsia" w:hAnsiTheme="minorEastAsia" w:eastAsiaTheme="minorEastAsia"/>
          <w:b/>
          <w:bCs/>
          <w:color w:val="auto"/>
          <w:sz w:val="24"/>
          <w:u w:val="single"/>
        </w:rPr>
        <w:t>元</w:t>
      </w:r>
      <w:r>
        <w:rPr>
          <w:rFonts w:hint="eastAsia" w:asciiTheme="minorEastAsia" w:hAnsiTheme="minorEastAsia" w:eastAsiaTheme="minorEastAsia"/>
          <w:b/>
          <w:bCs/>
          <w:color w:val="auto"/>
          <w:sz w:val="24"/>
        </w:rPr>
        <w:t>。</w:t>
      </w:r>
    </w:p>
    <w:p w14:paraId="07CD00BD">
      <w:pPr>
        <w:spacing w:line="500" w:lineRule="exact"/>
        <w:ind w:right="-193" w:rightChars="-92" w:firstLine="482" w:firstLineChars="200"/>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2、商务标评审共设两种方法，由招标人代表在开标时现场抽取确定，相关系数由招标人代表现场抽取确定后进入评标程序。</w:t>
      </w:r>
    </w:p>
    <w:p w14:paraId="2A62012C">
      <w:pPr>
        <w:spacing w:line="500" w:lineRule="exact"/>
        <w:ind w:right="-193" w:rightChars="-92" w:firstLine="482" w:firstLineChars="200"/>
        <w:rPr>
          <w:rFonts w:asciiTheme="minorEastAsia" w:hAnsiTheme="minorEastAsia" w:eastAsiaTheme="minorEastAsia"/>
          <w:b/>
          <w:bCs/>
          <w:color w:val="auto"/>
          <w:sz w:val="24"/>
        </w:rPr>
      </w:pPr>
      <w:r>
        <w:rPr>
          <w:rFonts w:asciiTheme="minorEastAsia" w:hAnsiTheme="minorEastAsia" w:eastAsiaTheme="minorEastAsia"/>
          <w:b/>
          <w:bCs/>
          <w:color w:val="auto"/>
          <w:sz w:val="24"/>
        </w:rPr>
        <w:t>3</w:t>
      </w:r>
      <w:r>
        <w:rPr>
          <w:rFonts w:hint="eastAsia" w:asciiTheme="minorEastAsia" w:hAnsiTheme="minorEastAsia" w:eastAsiaTheme="minorEastAsia"/>
          <w:b/>
          <w:bCs/>
          <w:color w:val="auto"/>
          <w:sz w:val="24"/>
        </w:rPr>
        <w:t>、评分标准(满分</w:t>
      </w:r>
      <w:r>
        <w:rPr>
          <w:rFonts w:asciiTheme="minorEastAsia" w:hAnsiTheme="minorEastAsia" w:eastAsiaTheme="minorEastAsia"/>
          <w:b/>
          <w:bCs/>
          <w:color w:val="auto"/>
          <w:sz w:val="24"/>
        </w:rPr>
        <w:t>100</w:t>
      </w:r>
      <w:r>
        <w:rPr>
          <w:rFonts w:hint="eastAsia" w:asciiTheme="minorEastAsia" w:hAnsiTheme="minorEastAsia" w:eastAsiaTheme="minorEastAsia"/>
          <w:b/>
          <w:bCs/>
          <w:color w:val="auto"/>
          <w:sz w:val="24"/>
        </w:rPr>
        <w:t>分)</w:t>
      </w:r>
    </w:p>
    <w:p w14:paraId="513EB669">
      <w:pPr>
        <w:spacing w:line="500" w:lineRule="exact"/>
        <w:ind w:right="-193" w:rightChars="-92" w:firstLine="482" w:firstLineChars="200"/>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方法一：</w:t>
      </w:r>
    </w:p>
    <w:p w14:paraId="557C865D">
      <w:pPr>
        <w:spacing w:line="500" w:lineRule="exact"/>
        <w:ind w:right="-193" w:rightChars="-92" w:firstLine="482" w:firstLineChars="200"/>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（1）确定有效报价：有效报价是指投标人投标报价低于或等于招标人设置的</w:t>
      </w:r>
      <w:r>
        <w:rPr>
          <w:rFonts w:hint="eastAsia" w:asciiTheme="minorEastAsia" w:hAnsiTheme="minorEastAsia" w:eastAsiaTheme="minorEastAsia"/>
          <w:b/>
          <w:bCs/>
          <w:color w:val="auto"/>
          <w:sz w:val="24"/>
          <w:lang w:eastAsia="zh-CN"/>
        </w:rPr>
        <w:t>最高投标限价</w:t>
      </w:r>
      <w:r>
        <w:rPr>
          <w:rFonts w:hint="eastAsia" w:asciiTheme="minorEastAsia" w:hAnsiTheme="minorEastAsia" w:eastAsiaTheme="minorEastAsia"/>
          <w:b/>
          <w:bCs/>
          <w:color w:val="auto"/>
          <w:sz w:val="24"/>
        </w:rPr>
        <w:t>，投标报价高于招标人设置的</w:t>
      </w:r>
      <w:r>
        <w:rPr>
          <w:rFonts w:hint="eastAsia" w:asciiTheme="minorEastAsia" w:hAnsiTheme="minorEastAsia" w:eastAsiaTheme="minorEastAsia"/>
          <w:b/>
          <w:bCs/>
          <w:color w:val="auto"/>
          <w:sz w:val="24"/>
          <w:lang w:eastAsia="zh-CN"/>
        </w:rPr>
        <w:t>最高投标限价</w:t>
      </w:r>
      <w:r>
        <w:rPr>
          <w:rFonts w:hint="eastAsia" w:asciiTheme="minorEastAsia" w:hAnsiTheme="minorEastAsia" w:eastAsiaTheme="minorEastAsia"/>
          <w:b/>
          <w:bCs/>
          <w:color w:val="auto"/>
          <w:sz w:val="24"/>
        </w:rPr>
        <w:t>的为无效报价，作废标处理。</w:t>
      </w:r>
    </w:p>
    <w:p w14:paraId="65769938">
      <w:pPr>
        <w:spacing w:line="500" w:lineRule="exact"/>
        <w:ind w:right="-193" w:rightChars="-92" w:firstLine="482" w:firstLineChars="200"/>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无效报价、被宣布为废标的投标报价均不参与评标基准价的计算。</w:t>
      </w:r>
    </w:p>
    <w:p w14:paraId="7615A690">
      <w:pPr>
        <w:spacing w:line="500" w:lineRule="exact"/>
        <w:ind w:right="-193" w:rightChars="-92" w:firstLine="482" w:firstLineChars="200"/>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（2）确定评标基准价</w:t>
      </w:r>
    </w:p>
    <w:p w14:paraId="58151AD8">
      <w:pPr>
        <w:spacing w:line="500" w:lineRule="exact"/>
        <w:ind w:right="-193" w:rightChars="-92" w:firstLine="482" w:firstLineChars="200"/>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以有效投标文件的评标价算术平均值为 A（当有效投标文件≥7家时，去掉最高和最低的各20%（四舍五入取整，末位投标价相同的均保留）后进行平均；当有效投标文件4-6家时，剔除最高报价（最高报价相同的均剔除）后进行算术平均；当有效投标文件＜4家时，则次低报价作为投标平均价A）。</w:t>
      </w:r>
    </w:p>
    <w:p w14:paraId="676E988A">
      <w:pPr>
        <w:spacing w:line="500" w:lineRule="exact"/>
        <w:ind w:right="-193" w:rightChars="-92" w:firstLine="482" w:firstLineChars="200"/>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评标基准价 =A×K，K值在开标时由招标人代表抽取确定，K 值的取值范围为95%、96%、97%、98%。</w:t>
      </w:r>
    </w:p>
    <w:p w14:paraId="1E143F53">
      <w:pPr>
        <w:spacing w:line="500" w:lineRule="exact"/>
        <w:ind w:right="-193" w:rightChars="-92" w:firstLine="482" w:firstLineChars="200"/>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投标人的投标报价与评标基准价相等的得</w:t>
      </w:r>
      <w:r>
        <w:rPr>
          <w:rFonts w:asciiTheme="minorEastAsia" w:hAnsiTheme="minorEastAsia" w:eastAsiaTheme="minorEastAsia"/>
          <w:b/>
          <w:bCs/>
          <w:color w:val="auto"/>
          <w:sz w:val="24"/>
        </w:rPr>
        <w:t>100</w:t>
      </w:r>
      <w:r>
        <w:rPr>
          <w:rFonts w:hint="eastAsia" w:asciiTheme="minorEastAsia" w:hAnsiTheme="minorEastAsia" w:eastAsiaTheme="minorEastAsia"/>
          <w:b/>
          <w:bCs/>
          <w:color w:val="auto"/>
          <w:sz w:val="24"/>
        </w:rPr>
        <w:t>分，与评标基准价相比较，每上浮1%扣 0.9 分，下浮1%扣 0.6 分。(不足1%的，采用插入法，得分保留两位小数，第三位四舍五入)</w:t>
      </w:r>
    </w:p>
    <w:p w14:paraId="20FD7DA5">
      <w:pPr>
        <w:spacing w:line="500" w:lineRule="exact"/>
        <w:ind w:right="-193" w:rightChars="-92" w:firstLine="482" w:firstLineChars="200"/>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方法二：</w:t>
      </w:r>
    </w:p>
    <w:p w14:paraId="6D61BEAB">
      <w:pPr>
        <w:spacing w:line="500" w:lineRule="exact"/>
        <w:ind w:right="-193" w:rightChars="-92" w:firstLine="482" w:firstLineChars="200"/>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①确定有效报价：有效报价是指投标人投标报价低于或等于招标人设置的</w:t>
      </w:r>
      <w:r>
        <w:rPr>
          <w:rFonts w:hint="eastAsia" w:asciiTheme="minorEastAsia" w:hAnsiTheme="minorEastAsia" w:eastAsiaTheme="minorEastAsia"/>
          <w:b/>
          <w:bCs/>
          <w:color w:val="auto"/>
          <w:sz w:val="24"/>
          <w:lang w:eastAsia="zh-CN"/>
        </w:rPr>
        <w:t>最高投标限价</w:t>
      </w:r>
      <w:r>
        <w:rPr>
          <w:rFonts w:hint="eastAsia" w:asciiTheme="minorEastAsia" w:hAnsiTheme="minorEastAsia" w:eastAsiaTheme="minorEastAsia"/>
          <w:b/>
          <w:bCs/>
          <w:color w:val="auto"/>
          <w:sz w:val="24"/>
        </w:rPr>
        <w:t>，投标报价高于招标人设置的</w:t>
      </w:r>
      <w:r>
        <w:rPr>
          <w:rFonts w:hint="eastAsia" w:asciiTheme="minorEastAsia" w:hAnsiTheme="minorEastAsia" w:eastAsiaTheme="minorEastAsia"/>
          <w:b/>
          <w:bCs/>
          <w:color w:val="auto"/>
          <w:sz w:val="24"/>
          <w:lang w:eastAsia="zh-CN"/>
        </w:rPr>
        <w:t>最高投标限价</w:t>
      </w:r>
      <w:r>
        <w:rPr>
          <w:rFonts w:hint="eastAsia" w:asciiTheme="minorEastAsia" w:hAnsiTheme="minorEastAsia" w:eastAsiaTheme="minorEastAsia"/>
          <w:b/>
          <w:bCs/>
          <w:color w:val="auto"/>
          <w:sz w:val="24"/>
        </w:rPr>
        <w:t>的为无效报价，作废标处理。</w:t>
      </w:r>
    </w:p>
    <w:p w14:paraId="7E68ABF0">
      <w:pPr>
        <w:spacing w:line="500" w:lineRule="exact"/>
        <w:ind w:right="-193" w:rightChars="-92" w:firstLine="482" w:firstLineChars="200"/>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无效报价、被宣布为废标的投标报价均不参与评标基准价的计算。</w:t>
      </w:r>
    </w:p>
    <w:p w14:paraId="454D19DB">
      <w:pPr>
        <w:spacing w:line="500" w:lineRule="exact"/>
        <w:ind w:right="-193" w:rightChars="-92" w:firstLine="482" w:firstLineChars="200"/>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②确定评标基准价</w:t>
      </w:r>
    </w:p>
    <w:p w14:paraId="7F52705B">
      <w:pPr>
        <w:spacing w:line="500" w:lineRule="exact"/>
        <w:ind w:right="-193" w:rightChars="-92" w:firstLine="482" w:firstLineChars="200"/>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以有效投标文件的评标价算术平均值为 A（当有效投标文件≥7家时，去掉最高和最低的各20%（四舍五入取整，末位投标价相同的均保留）后进行平均；当有效投标文件4-6家时，剔除最高报价（最高报价相同的均剔除）后进行算术平均；当有效投标文件＜4价时，则次低报价作为投标平均价A）</w:t>
      </w:r>
      <w:r>
        <w:rPr>
          <w:rFonts w:hint="eastAsia" w:asciiTheme="minorEastAsia" w:hAnsiTheme="minorEastAsia" w:eastAsiaTheme="minorEastAsia"/>
          <w:b/>
          <w:bCs/>
          <w:color w:val="auto"/>
          <w:sz w:val="24"/>
          <w:lang w:eastAsia="zh-CN"/>
        </w:rPr>
        <w:t>，</w:t>
      </w:r>
      <w:r>
        <w:rPr>
          <w:rFonts w:hint="eastAsia" w:asciiTheme="minorEastAsia" w:hAnsiTheme="minorEastAsia" w:eastAsiaTheme="minorEastAsia"/>
          <w:b/>
          <w:bCs/>
          <w:color w:val="auto"/>
          <w:sz w:val="24"/>
          <w:lang w:val="en-US" w:eastAsia="zh-CN"/>
        </w:rPr>
        <w:t>最高投标限价为B，则：</w:t>
      </w:r>
    </w:p>
    <w:p w14:paraId="5845E059">
      <w:pPr>
        <w:spacing w:line="500" w:lineRule="exact"/>
        <w:ind w:right="-193" w:rightChars="-92" w:firstLine="482" w:firstLineChars="200"/>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评标基准价 =A×K1×Q1+B×K2×Q2</w:t>
      </w:r>
    </w:p>
    <w:p w14:paraId="08C4945B">
      <w:pPr>
        <w:spacing w:line="500" w:lineRule="exact"/>
        <w:ind w:right="-193" w:rightChars="-92" w:firstLine="482" w:firstLineChars="200"/>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 xml:space="preserve">Q2=1-Q1, Q1取值范围为65%、70%、75%、80%、85%；K1的取值范围为95%、96%、97%、98%； K2 的取值为88%；Q1、K1值在开标时由招标人代表现场抽取确定。 </w:t>
      </w:r>
    </w:p>
    <w:p w14:paraId="67AB78F9">
      <w:pPr>
        <w:spacing w:line="500" w:lineRule="exact"/>
        <w:ind w:right="-193" w:rightChars="-92" w:firstLine="482" w:firstLineChars="200"/>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（4）计算报价得分</w:t>
      </w:r>
    </w:p>
    <w:p w14:paraId="2039752A">
      <w:pPr>
        <w:spacing w:line="500" w:lineRule="exact"/>
        <w:ind w:right="-193" w:rightChars="-92" w:firstLine="482" w:firstLineChars="200"/>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投标人的投标报价与评标基准价相等的得</w:t>
      </w:r>
      <w:r>
        <w:rPr>
          <w:rFonts w:asciiTheme="minorEastAsia" w:hAnsiTheme="minorEastAsia" w:eastAsiaTheme="minorEastAsia"/>
          <w:b/>
          <w:bCs/>
          <w:color w:val="auto"/>
          <w:sz w:val="24"/>
        </w:rPr>
        <w:t>100</w:t>
      </w:r>
      <w:r>
        <w:rPr>
          <w:rFonts w:hint="eastAsia" w:asciiTheme="minorEastAsia" w:hAnsiTheme="minorEastAsia" w:eastAsiaTheme="minorEastAsia"/>
          <w:b/>
          <w:bCs/>
          <w:color w:val="auto"/>
          <w:sz w:val="24"/>
        </w:rPr>
        <w:t xml:space="preserve">分，与评标基准价相比较，每上浮1%扣 0.9 分，下浮1%扣 0.6 分。(不足1%的，采用插入法，得分保留两位小数，第三位四舍五入)    </w:t>
      </w:r>
    </w:p>
    <w:p w14:paraId="55AAC411">
      <w:pPr>
        <w:spacing w:line="500" w:lineRule="exact"/>
        <w:ind w:right="-193" w:rightChars="-92" w:firstLine="482" w:firstLineChars="200"/>
        <w:rPr>
          <w:rFonts w:asciiTheme="minorEastAsia" w:hAnsiTheme="minorEastAsia" w:eastAsiaTheme="minorEastAsia"/>
          <w:b/>
          <w:color w:val="auto"/>
          <w:sz w:val="24"/>
        </w:rPr>
      </w:pPr>
      <w:r>
        <w:rPr>
          <w:rFonts w:hint="eastAsia" w:asciiTheme="minorEastAsia" w:hAnsiTheme="minorEastAsia" w:eastAsiaTheme="minorEastAsia"/>
          <w:b/>
          <w:bCs/>
          <w:color w:val="auto"/>
          <w:sz w:val="24"/>
        </w:rPr>
        <w:t>注：评标委员会在评标报告签字后，评标基准价不因招投标当事人质疑、投诉、复议以及其他任何情形而改变，但评标过程中的计算错误可作调整。</w:t>
      </w:r>
    </w:p>
    <w:p w14:paraId="4ECEC2B4">
      <w:pPr>
        <w:spacing w:line="500" w:lineRule="exact"/>
        <w:ind w:right="-483" w:rightChars="-230" w:firstLine="482" w:firstLineChars="200"/>
        <w:rPr>
          <w:rFonts w:asciiTheme="minorEastAsia" w:hAnsiTheme="minorEastAsia" w:eastAsiaTheme="minorEastAsia"/>
          <w:b/>
          <w:color w:val="auto"/>
          <w:sz w:val="24"/>
        </w:rPr>
      </w:pPr>
      <w:r>
        <w:rPr>
          <w:rFonts w:hint="eastAsia" w:asciiTheme="minorEastAsia" w:hAnsiTheme="minorEastAsia" w:eastAsiaTheme="minorEastAsia"/>
          <w:b/>
          <w:color w:val="auto"/>
          <w:sz w:val="24"/>
        </w:rPr>
        <w:t>4、评标委员会按照各投标人的投标报价，按得分从高到低的顺序确定前三名中标候选人，中标价为其投标报价。若投标报价得分相同，则投标报价低者优先；若投标报价仍相同，则采取现场随机抽签的方式确定最终的中标候选人。</w:t>
      </w:r>
    </w:p>
    <w:p w14:paraId="208E0C60">
      <w:pPr>
        <w:spacing w:line="500" w:lineRule="exact"/>
        <w:ind w:right="-483" w:rightChars="-230" w:firstLine="482" w:firstLineChars="200"/>
        <w:rPr>
          <w:rFonts w:asciiTheme="minorEastAsia" w:hAnsiTheme="minorEastAsia" w:eastAsiaTheme="minorEastAsia"/>
          <w:b/>
          <w:color w:val="auto"/>
          <w:sz w:val="24"/>
        </w:rPr>
      </w:pPr>
      <w:r>
        <w:rPr>
          <w:rFonts w:asciiTheme="minorEastAsia" w:hAnsiTheme="minorEastAsia" w:eastAsiaTheme="minorEastAsia"/>
          <w:b/>
          <w:color w:val="auto"/>
          <w:sz w:val="24"/>
        </w:rPr>
        <w:t>5</w:t>
      </w:r>
      <w:r>
        <w:rPr>
          <w:rFonts w:hint="eastAsia" w:asciiTheme="minorEastAsia" w:hAnsiTheme="minorEastAsia" w:eastAsiaTheme="minorEastAsia"/>
          <w:b/>
          <w:color w:val="auto"/>
          <w:sz w:val="24"/>
        </w:rPr>
        <w:t>、本工程第一中标候选人原则上为中标人。当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14:paraId="1319A3B7">
      <w:pPr>
        <w:spacing w:line="500" w:lineRule="exact"/>
        <w:ind w:right="-483" w:rightChars="-230" w:firstLine="480" w:firstLineChars="200"/>
        <w:rPr>
          <w:rFonts w:cs="宋体" w:asciiTheme="minorEastAsia" w:hAnsiTheme="minorEastAsia" w:eastAsiaTheme="minorEastAsia"/>
          <w:color w:val="auto"/>
          <w:kern w:val="0"/>
          <w:sz w:val="24"/>
        </w:rPr>
      </w:pPr>
      <w:r>
        <w:rPr>
          <w:rFonts w:hint="eastAsia" w:asciiTheme="minorEastAsia" w:hAnsiTheme="minorEastAsia" w:eastAsiaTheme="minorEastAsia"/>
          <w:bCs/>
          <w:color w:val="auto"/>
          <w:sz w:val="24"/>
        </w:rPr>
        <w:t>四、</w:t>
      </w:r>
      <w:r>
        <w:rPr>
          <w:rFonts w:hint="eastAsia" w:cs="宋体" w:asciiTheme="minorEastAsia" w:hAnsiTheme="minorEastAsia" w:eastAsiaTheme="minorEastAsia"/>
          <w:color w:val="auto"/>
          <w:kern w:val="0"/>
          <w:sz w:val="24"/>
        </w:rPr>
        <w:t>评标过程中出现本评标办法未尽事宜，由评标委员会根据有关法律、法规讨论并作出最终解释。</w:t>
      </w:r>
    </w:p>
    <w:p w14:paraId="4E727FCC">
      <w:pPr>
        <w:spacing w:line="420" w:lineRule="exact"/>
        <w:ind w:firstLine="480" w:firstLineChars="200"/>
        <w:rPr>
          <w:rFonts w:asciiTheme="minorEastAsia" w:hAnsiTheme="minorEastAsia" w:eastAsiaTheme="minorEastAsia" w:cstheme="minorEastAsia"/>
          <w:b/>
          <w:bCs/>
          <w:color w:val="auto"/>
          <w:szCs w:val="21"/>
        </w:rPr>
      </w:pPr>
      <w:r>
        <w:rPr>
          <w:rFonts w:asciiTheme="minorEastAsia" w:hAnsiTheme="minorEastAsia" w:eastAsiaTheme="minorEastAsia"/>
          <w:color w:val="auto"/>
          <w:sz w:val="24"/>
        </w:rPr>
        <w:br w:type="page"/>
      </w:r>
      <w:r>
        <w:rPr>
          <w:rFonts w:hint="eastAsia" w:asciiTheme="minorEastAsia" w:hAnsiTheme="minorEastAsia" w:eastAsiaTheme="minorEastAsia" w:cstheme="minorEastAsia"/>
          <w:b/>
          <w:bCs/>
          <w:color w:val="auto"/>
          <w:szCs w:val="21"/>
        </w:rPr>
        <w:t>附件A、《办公厅关于全面实行一级建造师电子注册证书的通知》（建办市〔2021〕40号）文件</w:t>
      </w:r>
    </w:p>
    <w:p w14:paraId="4A69B68E">
      <w:pPr>
        <w:ind w:firstLine="420" w:firstLineChars="200"/>
        <w:rPr>
          <w:rFonts w:asciiTheme="minorEastAsia" w:hAnsiTheme="minorEastAsia" w:eastAsiaTheme="minorEastAsia" w:cstheme="minorEastAsia"/>
          <w:color w:val="auto"/>
          <w:szCs w:val="22"/>
        </w:rPr>
      </w:pPr>
      <w:r>
        <w:rPr>
          <w:rFonts w:hint="eastAsia" w:asciiTheme="minorEastAsia" w:hAnsiTheme="minorEastAsia" w:eastAsiaTheme="minorEastAsia" w:cstheme="minorEastAsia"/>
          <w:color w:val="auto"/>
          <w:szCs w:val="22"/>
        </w:rPr>
        <w:drawing>
          <wp:inline distT="0" distB="0" distL="114300" distR="114300">
            <wp:extent cx="5351780" cy="3674110"/>
            <wp:effectExtent l="0" t="0" r="1270" b="2540"/>
            <wp:docPr id="47"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55"/>
                    <pic:cNvPicPr>
                      <a:picLocks noChangeAspect="1"/>
                    </pic:cNvPicPr>
                  </pic:nvPicPr>
                  <pic:blipFill>
                    <a:blip r:embed="rId7"/>
                    <a:stretch>
                      <a:fillRect/>
                    </a:stretch>
                  </pic:blipFill>
                  <pic:spPr>
                    <a:xfrm>
                      <a:off x="0" y="0"/>
                      <a:ext cx="5351780" cy="3674110"/>
                    </a:xfrm>
                    <a:prstGeom prst="rect">
                      <a:avLst/>
                    </a:prstGeom>
                    <a:noFill/>
                    <a:ln>
                      <a:noFill/>
                    </a:ln>
                  </pic:spPr>
                </pic:pic>
              </a:graphicData>
            </a:graphic>
          </wp:inline>
        </w:drawing>
      </w:r>
    </w:p>
    <w:p w14:paraId="36489CDD">
      <w:pPr>
        <w:ind w:firstLine="420" w:firstLineChars="200"/>
        <w:rPr>
          <w:rFonts w:asciiTheme="minorEastAsia" w:hAnsiTheme="minorEastAsia" w:eastAsiaTheme="minorEastAsia" w:cstheme="minorEastAsia"/>
          <w:color w:val="auto"/>
          <w:szCs w:val="22"/>
        </w:rPr>
      </w:pPr>
    </w:p>
    <w:p w14:paraId="3EFC93D7">
      <w:pPr>
        <w:jc w:val="center"/>
        <w:rPr>
          <w:rFonts w:asciiTheme="minorEastAsia" w:hAnsiTheme="minorEastAsia" w:eastAsiaTheme="minorEastAsia" w:cstheme="minorEastAsia"/>
          <w:b/>
          <w:color w:val="auto"/>
          <w:sz w:val="30"/>
          <w:szCs w:val="30"/>
        </w:rPr>
      </w:pPr>
    </w:p>
    <w:p w14:paraId="49600736">
      <w:pPr>
        <w:jc w:val="center"/>
        <w:rPr>
          <w:rFonts w:asciiTheme="minorEastAsia" w:hAnsiTheme="minorEastAsia" w:eastAsiaTheme="minorEastAsia" w:cstheme="minorEastAsia"/>
          <w:b/>
          <w:color w:val="auto"/>
          <w:sz w:val="30"/>
          <w:szCs w:val="30"/>
        </w:rPr>
      </w:pPr>
      <w:r>
        <w:rPr>
          <w:rFonts w:hint="eastAsia" w:asciiTheme="minorEastAsia" w:hAnsiTheme="minorEastAsia" w:eastAsiaTheme="minorEastAsia" w:cstheme="minorEastAsia"/>
          <w:b/>
          <w:color w:val="auto"/>
          <w:sz w:val="30"/>
          <w:szCs w:val="30"/>
        </w:rPr>
        <w:t>住房和城乡建设部办公厅关于全面实行</w:t>
      </w:r>
    </w:p>
    <w:p w14:paraId="30AA6334">
      <w:pPr>
        <w:jc w:val="center"/>
        <w:rPr>
          <w:rFonts w:asciiTheme="minorEastAsia" w:hAnsiTheme="minorEastAsia" w:eastAsiaTheme="minorEastAsia" w:cstheme="minorEastAsia"/>
          <w:b/>
          <w:color w:val="auto"/>
          <w:sz w:val="30"/>
          <w:szCs w:val="30"/>
        </w:rPr>
      </w:pPr>
      <w:r>
        <w:rPr>
          <w:rFonts w:hint="eastAsia" w:asciiTheme="minorEastAsia" w:hAnsiTheme="minorEastAsia" w:eastAsiaTheme="minorEastAsia" w:cstheme="minorEastAsia"/>
          <w:b/>
          <w:color w:val="auto"/>
          <w:sz w:val="30"/>
          <w:szCs w:val="30"/>
        </w:rPr>
        <w:t>一级建造师电子注册证书的通知</w:t>
      </w:r>
    </w:p>
    <w:p w14:paraId="2D828E7A">
      <w:pPr>
        <w:tabs>
          <w:tab w:val="left" w:pos="2410"/>
        </w:tabs>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各省、自治区住房和城乡建设厅，直辖市住房和城乡建设（管）委，新疆生产建设兵团住房和城乡建设局，国务院有关部门建设司（局），中央军委后勤保障部军事设施建设局，有关中央企业：</w:t>
      </w:r>
    </w:p>
    <w:p w14:paraId="22BB727B">
      <w:pPr>
        <w:tabs>
          <w:tab w:val="left" w:pos="2410"/>
        </w:tabs>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为扎实推进“我为群众办实事”实践活动，深化建筑业“放管服”改革，进一步提升政务服务规范化、便利化水平，我部决定在全国范围内实行一级建造师电子注册证书（以下简称电子证书），并开展延续注册工作。现将有关事项通知如下：</w:t>
      </w:r>
    </w:p>
    <w:p w14:paraId="5FCD784A">
      <w:pPr>
        <w:tabs>
          <w:tab w:val="left" w:pos="2410"/>
        </w:tabs>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一、工作内容</w:t>
      </w:r>
    </w:p>
    <w:p w14:paraId="3DA52EF9">
      <w:pPr>
        <w:tabs>
          <w:tab w:val="left" w:pos="2410"/>
        </w:tabs>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（一）实行电子证书。</w:t>
      </w:r>
    </w:p>
    <w:p w14:paraId="007066EB">
      <w:pPr>
        <w:tabs>
          <w:tab w:val="left" w:pos="2410"/>
        </w:tabs>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1．自 2021年10月15日起，在全国范围内实行一级建造师电子证书（具体示例及说明见附件1），电子证书式样按照《全国一体化在线政务服务平台电子证照一级建造师注册证书》标准执行（具体式样见附件2）。自 2022年1月1日起，一级建造师统一使用电子证书，纸质注册证书作废。</w:t>
      </w:r>
    </w:p>
    <w:p w14:paraId="7A62EA1B">
      <w:pPr>
        <w:tabs>
          <w:tab w:val="left" w:pos="2410"/>
        </w:tabs>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2．自 2021年10月15日起，全国范围内准予一级建造师初始注册、增项注册、重新注册、延续注册的，不再发放纸质注册证书或加贴防伪贴；聘用单位基本信息修改的，不再加贴防伪贴；因纸质注册证书遗失、污损或个人信息修改等需重新发放注册证书的，不再补发或更换纸质注册证书。</w:t>
      </w:r>
    </w:p>
    <w:p w14:paraId="1DFBC866">
      <w:pPr>
        <w:tabs>
          <w:tab w:val="left" w:pos="2410"/>
        </w:tabs>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3．电子证书与纸质注册证书并行使用期间，其注册编号同时有效。2022年1月1日起，一级建造师应重新刻制执业印章，并使用电子证书上的注册编号。</w:t>
      </w:r>
    </w:p>
    <w:p w14:paraId="4EF15BFA">
      <w:pPr>
        <w:tabs>
          <w:tab w:val="left" w:pos="2410"/>
        </w:tabs>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4．各省（区、市）住房和城乡建设主管部门要会同有关行业主管部门创新监管模式，充分运用信息化手段，加快实现电子证书在招标投标、审批许可、项目管理、行业监管等环节的应用。</w:t>
      </w:r>
    </w:p>
    <w:p w14:paraId="18666D59">
      <w:pPr>
        <w:tabs>
          <w:tab w:val="left" w:pos="2410"/>
        </w:tabs>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（二）开展延续注册。</w:t>
      </w:r>
    </w:p>
    <w:p w14:paraId="47E2656D">
      <w:pPr>
        <w:tabs>
          <w:tab w:val="left" w:pos="2410"/>
        </w:tabs>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一级建造师注册专业有效期已过期的，应于2021年12月15日前提出延续注册申请；注册专业仍在有效期内的，应在有效期届满30日前提出延续注册申请；注册专业有效期届满且未提出延续注册申请的，自2022年1月1日起注册专业失效。</w:t>
      </w:r>
    </w:p>
    <w:p w14:paraId="6119FC08">
      <w:pPr>
        <w:tabs>
          <w:tab w:val="left" w:pos="2410"/>
        </w:tabs>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2．一级建造师申请延续注册的，应达到继续教育要求，并对本人完成继续教育情况作出承诺。</w:t>
      </w:r>
    </w:p>
    <w:p w14:paraId="1433DB4C">
      <w:pPr>
        <w:tabs>
          <w:tab w:val="left" w:pos="2410"/>
        </w:tabs>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3．准予延续注册的注册专业，其注册专业有效期从准予延续注册之日起计算。准予延续注册之日距65周岁不满3年的，有效期至 65 周岁当日。</w:t>
      </w:r>
    </w:p>
    <w:p w14:paraId="59B2424C">
      <w:pPr>
        <w:tabs>
          <w:tab w:val="left" w:pos="2410"/>
        </w:tabs>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二、电子证书有关使用要求</w:t>
      </w:r>
    </w:p>
    <w:p w14:paraId="05F6578B">
      <w:pPr>
        <w:tabs>
          <w:tab w:val="left" w:pos="2410"/>
        </w:tabs>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一）一级建造师可登录国家政务服务平台、住房和城乡建设部政务服务门户查看和下载电子证书，具体操作流程可查阅《住房和城乡建设部一级建造师电子证照申领和使用手册》。查看和下载电子证书时，本人应确认该证书的使用时限。电子证书使用时限为180天，但使用时限距注册专业有效期或建造师满65周岁不足180天的，使用时限截止日期以注册专业有效期截止日期或建造师满65周岁当日为准。超出使用时限的电子证书无效，需重新下载电子证书并再次确认使用时限。</w:t>
      </w:r>
    </w:p>
    <w:p w14:paraId="31272814">
      <w:pPr>
        <w:tabs>
          <w:tab w:val="left" w:pos="2410"/>
        </w:tabs>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（二）一级建造师打印电子证书后，应在个人签名处手写本人签名，未手写签名或与签名图像笔迹不一致的，该电子证书无效。</w:t>
      </w:r>
    </w:p>
    <w:p w14:paraId="0B09D7BB">
      <w:pPr>
        <w:tabs>
          <w:tab w:val="left" w:pos="2410"/>
        </w:tabs>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（三）一级建造师应妥善保管本人的国家政务服务平台账号，因本人保管不善造成账号信息泄露所产生的一切后果由本人承担。</w:t>
      </w:r>
    </w:p>
    <w:p w14:paraId="3BA5F380">
      <w:pPr>
        <w:tabs>
          <w:tab w:val="left" w:pos="2410"/>
        </w:tabs>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（四）有关单位和个人可通过“中国建造师网”微信公众号扫描电子证书上的二维码，查询一级建造师注册信息。</w:t>
      </w:r>
    </w:p>
    <w:p w14:paraId="671C2233">
      <w:pPr>
        <w:tabs>
          <w:tab w:val="left" w:pos="2410"/>
        </w:tabs>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五）电子证书与纸质注册证书的聘用单位信息、个人基本信息、注册专业有效期等不一致的，以电子证书信息为准。电子证书信息发生变更的，需登录国家政务服务平台或住房和城乡建设部政务服务门户重新下载。</w:t>
      </w:r>
    </w:p>
    <w:p w14:paraId="1A81E1DE">
      <w:pPr>
        <w:tabs>
          <w:tab w:val="left" w:pos="2410"/>
        </w:tabs>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附件：1．一级建造师电子注册证书示例及说明</w:t>
      </w:r>
    </w:p>
    <w:p w14:paraId="0EF5BB4A">
      <w:pPr>
        <w:tabs>
          <w:tab w:val="left" w:pos="2410"/>
        </w:tabs>
        <w:spacing w:line="360" w:lineRule="auto"/>
        <w:ind w:firstLine="42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2．一级建造师电子注册证书式样</w:t>
      </w:r>
    </w:p>
    <w:p w14:paraId="07418435">
      <w:pPr>
        <w:tabs>
          <w:tab w:val="left" w:pos="2410"/>
        </w:tabs>
        <w:spacing w:line="360" w:lineRule="auto"/>
        <w:ind w:firstLine="420" w:firstLineChars="200"/>
        <w:jc w:val="right"/>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住房和城乡建设部办公厅　　　　　　　　　　　　　　　　　　　　　　　　　　　　　　　　　2021年9月18日</w:t>
      </w:r>
    </w:p>
    <w:p w14:paraId="36F7EA3E">
      <w:pPr>
        <w:ind w:right="600" w:firstLine="420" w:firstLineChars="200"/>
        <w:rPr>
          <w:rFonts w:asciiTheme="minorEastAsia" w:hAnsiTheme="minorEastAsia" w:eastAsiaTheme="minorEastAsia" w:cstheme="minorEastAsia"/>
          <w:color w:val="auto"/>
          <w:sz w:val="30"/>
          <w:szCs w:val="30"/>
        </w:rPr>
      </w:pPr>
      <w:r>
        <w:rPr>
          <w:rFonts w:hint="eastAsia" w:asciiTheme="minorEastAsia" w:hAnsiTheme="minorEastAsia" w:eastAsiaTheme="minorEastAsia" w:cstheme="minorEastAsia"/>
          <w:color w:val="auto"/>
          <w:szCs w:val="22"/>
        </w:rPr>
        <w:drawing>
          <wp:inline distT="0" distB="0" distL="114300" distR="114300">
            <wp:extent cx="5485130" cy="7316470"/>
            <wp:effectExtent l="0" t="0" r="1270" b="17780"/>
            <wp:docPr id="48"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56"/>
                    <pic:cNvPicPr>
                      <a:picLocks noChangeAspect="1"/>
                    </pic:cNvPicPr>
                  </pic:nvPicPr>
                  <pic:blipFill>
                    <a:blip r:embed="rId8"/>
                    <a:stretch>
                      <a:fillRect/>
                    </a:stretch>
                  </pic:blipFill>
                  <pic:spPr>
                    <a:xfrm>
                      <a:off x="0" y="0"/>
                      <a:ext cx="5485130" cy="7316470"/>
                    </a:xfrm>
                    <a:prstGeom prst="rect">
                      <a:avLst/>
                    </a:prstGeom>
                    <a:noFill/>
                    <a:ln>
                      <a:noFill/>
                    </a:ln>
                  </pic:spPr>
                </pic:pic>
              </a:graphicData>
            </a:graphic>
          </wp:inline>
        </w:drawing>
      </w:r>
      <w:r>
        <w:rPr>
          <w:rFonts w:hint="eastAsia" w:asciiTheme="minorEastAsia" w:hAnsiTheme="minorEastAsia" w:eastAsiaTheme="minorEastAsia" w:cstheme="minorEastAsia"/>
          <w:color w:val="auto"/>
          <w:szCs w:val="22"/>
        </w:rPr>
        <w:drawing>
          <wp:inline distT="0" distB="0" distL="114300" distR="114300">
            <wp:extent cx="5485765" cy="7654290"/>
            <wp:effectExtent l="0" t="0" r="635" b="3810"/>
            <wp:docPr id="49"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57"/>
                    <pic:cNvPicPr>
                      <a:picLocks noChangeAspect="1"/>
                    </pic:cNvPicPr>
                  </pic:nvPicPr>
                  <pic:blipFill>
                    <a:blip r:embed="rId9"/>
                    <a:stretch>
                      <a:fillRect/>
                    </a:stretch>
                  </pic:blipFill>
                  <pic:spPr>
                    <a:xfrm>
                      <a:off x="0" y="0"/>
                      <a:ext cx="5485765" cy="7654290"/>
                    </a:xfrm>
                    <a:prstGeom prst="rect">
                      <a:avLst/>
                    </a:prstGeom>
                    <a:noFill/>
                    <a:ln>
                      <a:noFill/>
                    </a:ln>
                  </pic:spPr>
                </pic:pic>
              </a:graphicData>
            </a:graphic>
          </wp:inline>
        </w:drawing>
      </w:r>
    </w:p>
    <w:p w14:paraId="0B175CB4">
      <w:pPr>
        <w:spacing w:line="420" w:lineRule="exact"/>
        <w:ind w:firstLine="422" w:firstLineChars="200"/>
        <w:rPr>
          <w:rFonts w:asciiTheme="minorEastAsia" w:hAnsiTheme="minorEastAsia" w:eastAsiaTheme="minorEastAsia" w:cstheme="minorEastAsia"/>
          <w:b/>
          <w:bCs/>
          <w:color w:val="auto"/>
          <w:szCs w:val="21"/>
        </w:rPr>
      </w:pPr>
    </w:p>
    <w:p w14:paraId="0AA70CF5">
      <w:pPr>
        <w:spacing w:line="420" w:lineRule="exact"/>
        <w:ind w:firstLine="422" w:firstLineChars="200"/>
        <w:rPr>
          <w:rFonts w:asciiTheme="minorEastAsia" w:hAnsiTheme="minorEastAsia" w:eastAsiaTheme="minorEastAsia" w:cstheme="minorEastAsia"/>
          <w:b/>
          <w:bCs/>
          <w:color w:val="auto"/>
          <w:szCs w:val="21"/>
        </w:rPr>
      </w:pPr>
    </w:p>
    <w:p w14:paraId="344934AD">
      <w:pPr>
        <w:spacing w:line="420" w:lineRule="exact"/>
        <w:ind w:firstLine="422" w:firstLineChars="200"/>
        <w:rPr>
          <w:rFonts w:asciiTheme="minorEastAsia" w:hAnsiTheme="minorEastAsia" w:eastAsiaTheme="minorEastAsia" w:cstheme="minorEastAsia"/>
          <w:b/>
          <w:bCs/>
          <w:color w:val="auto"/>
          <w:szCs w:val="21"/>
        </w:rPr>
      </w:pPr>
    </w:p>
    <w:p w14:paraId="69CCC53F">
      <w:pPr>
        <w:spacing w:line="420" w:lineRule="exact"/>
        <w:ind w:firstLine="422" w:firstLineChars="200"/>
        <w:rPr>
          <w:rFonts w:asciiTheme="minorEastAsia" w:hAnsiTheme="minorEastAsia" w:eastAsiaTheme="minorEastAsia" w:cstheme="minorEastAsia"/>
          <w:b/>
          <w:bCs/>
          <w:color w:val="auto"/>
          <w:szCs w:val="21"/>
        </w:rPr>
      </w:pPr>
    </w:p>
    <w:p w14:paraId="1C69DAC0">
      <w:pPr>
        <w:spacing w:line="420" w:lineRule="exact"/>
        <w:ind w:firstLine="422" w:firstLineChars="200"/>
        <w:rPr>
          <w:rFonts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附件B：《省住房和城乡建设厅关于我省二级建造师、二级造价工程师、二级注册建筑师、二级注册结构工程师注册证书电子证照换发的公告》（〔2023〕第26号）文件</w:t>
      </w:r>
    </w:p>
    <w:p w14:paraId="51310ED6">
      <w:pPr>
        <w:spacing w:line="360" w:lineRule="auto"/>
        <w:rPr>
          <w:rFonts w:asciiTheme="minorEastAsia" w:hAnsiTheme="minorEastAsia" w:eastAsiaTheme="minorEastAsia" w:cstheme="minorEastAsia"/>
          <w:b/>
          <w:bCs/>
          <w:color w:val="auto"/>
          <w:kern w:val="44"/>
          <w:sz w:val="32"/>
          <w:szCs w:val="32"/>
        </w:rPr>
      </w:pPr>
      <w:r>
        <w:rPr>
          <w:color w:val="auto"/>
        </w:rPr>
        <w:drawing>
          <wp:inline distT="0" distB="0" distL="0" distR="0">
            <wp:extent cx="5868035" cy="4112895"/>
            <wp:effectExtent l="0" t="0" r="18415" b="190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0"/>
                    <a:stretch>
                      <a:fillRect/>
                    </a:stretch>
                  </pic:blipFill>
                  <pic:spPr>
                    <a:xfrm>
                      <a:off x="0" y="0"/>
                      <a:ext cx="5868035" cy="4112895"/>
                    </a:xfrm>
                    <a:prstGeom prst="rect">
                      <a:avLst/>
                    </a:prstGeom>
                  </pic:spPr>
                </pic:pic>
              </a:graphicData>
            </a:graphic>
          </wp:inline>
        </w:drawing>
      </w:r>
    </w:p>
    <w:p w14:paraId="657264F4">
      <w:pPr>
        <w:wordWrap w:val="0"/>
        <w:adjustRightInd w:val="0"/>
        <w:snapToGrid w:val="0"/>
        <w:spacing w:line="570" w:lineRule="exact"/>
        <w:ind w:firstLine="630"/>
        <w:rPr>
          <w:rFonts w:ascii="方正黑体_GBK" w:hAnsi="方正黑体_GBK" w:eastAsia="方正黑体_GBK" w:cs="方正黑体_GBK"/>
          <w:color w:val="auto"/>
          <w:sz w:val="32"/>
          <w:szCs w:val="32"/>
        </w:rPr>
      </w:pPr>
    </w:p>
    <w:p w14:paraId="4E60B78F">
      <w:pPr>
        <w:wordWrap w:val="0"/>
        <w:adjustRightInd w:val="0"/>
        <w:snapToGrid w:val="0"/>
        <w:spacing w:line="570" w:lineRule="exact"/>
        <w:ind w:firstLine="630"/>
        <w:rPr>
          <w:rFonts w:ascii="方正黑体_GBK" w:hAnsi="方正黑体_GBK" w:eastAsia="方正黑体_GBK" w:cs="方正黑体_GBK"/>
          <w:color w:val="auto"/>
          <w:sz w:val="32"/>
          <w:szCs w:val="32"/>
        </w:rPr>
      </w:pPr>
    </w:p>
    <w:p w14:paraId="30B51B02">
      <w:pPr>
        <w:wordWrap w:val="0"/>
        <w:adjustRightInd w:val="0"/>
        <w:snapToGrid w:val="0"/>
        <w:spacing w:line="570" w:lineRule="exact"/>
        <w:ind w:firstLine="630"/>
        <w:rPr>
          <w:rFonts w:ascii="方正黑体_GBK" w:hAnsi="方正黑体_GBK" w:eastAsia="方正黑体_GBK" w:cs="方正黑体_GBK"/>
          <w:color w:val="auto"/>
          <w:sz w:val="32"/>
          <w:szCs w:val="32"/>
        </w:rPr>
      </w:pPr>
    </w:p>
    <w:p w14:paraId="07EB8F03">
      <w:pPr>
        <w:wordWrap w:val="0"/>
        <w:adjustRightInd w:val="0"/>
        <w:snapToGrid w:val="0"/>
        <w:spacing w:line="570" w:lineRule="exact"/>
        <w:ind w:firstLine="630"/>
        <w:rPr>
          <w:rFonts w:ascii="方正黑体_GBK" w:hAnsi="方正黑体_GBK" w:eastAsia="方正黑体_GBK" w:cs="方正黑体_GBK"/>
          <w:color w:val="auto"/>
          <w:sz w:val="32"/>
          <w:szCs w:val="32"/>
        </w:rPr>
      </w:pPr>
    </w:p>
    <w:p w14:paraId="1F5B6BD6">
      <w:pPr>
        <w:wordWrap w:val="0"/>
        <w:adjustRightInd w:val="0"/>
        <w:snapToGrid w:val="0"/>
        <w:spacing w:line="570" w:lineRule="exact"/>
        <w:ind w:firstLine="630"/>
        <w:rPr>
          <w:rFonts w:ascii="方正黑体_GBK" w:hAnsi="方正黑体_GBK" w:eastAsia="方正黑体_GBK" w:cs="方正黑体_GBK"/>
          <w:color w:val="auto"/>
          <w:sz w:val="32"/>
          <w:szCs w:val="32"/>
        </w:rPr>
      </w:pPr>
    </w:p>
    <w:p w14:paraId="7418CC80">
      <w:pPr>
        <w:wordWrap w:val="0"/>
        <w:adjustRightInd w:val="0"/>
        <w:snapToGrid w:val="0"/>
        <w:spacing w:line="570" w:lineRule="exact"/>
        <w:ind w:firstLine="630"/>
        <w:rPr>
          <w:rFonts w:ascii="方正黑体_GBK" w:hAnsi="方正黑体_GBK" w:eastAsia="方正黑体_GBK" w:cs="方正黑体_GBK"/>
          <w:color w:val="auto"/>
          <w:sz w:val="32"/>
          <w:szCs w:val="32"/>
        </w:rPr>
      </w:pPr>
    </w:p>
    <w:p w14:paraId="0841D584">
      <w:pPr>
        <w:wordWrap w:val="0"/>
        <w:adjustRightInd w:val="0"/>
        <w:snapToGrid w:val="0"/>
        <w:spacing w:line="570" w:lineRule="exact"/>
        <w:ind w:firstLine="630"/>
        <w:rPr>
          <w:rFonts w:ascii="方正黑体_GBK" w:hAnsi="方正黑体_GBK" w:eastAsia="方正黑体_GBK" w:cs="方正黑体_GBK"/>
          <w:color w:val="auto"/>
          <w:sz w:val="32"/>
          <w:szCs w:val="32"/>
        </w:rPr>
      </w:pPr>
    </w:p>
    <w:p w14:paraId="45CE2F11">
      <w:pPr>
        <w:wordWrap w:val="0"/>
        <w:adjustRightInd w:val="0"/>
        <w:snapToGrid w:val="0"/>
        <w:spacing w:line="570" w:lineRule="exact"/>
        <w:ind w:firstLine="630"/>
        <w:rPr>
          <w:rFonts w:ascii="方正黑体_GBK" w:hAnsi="方正黑体_GBK" w:eastAsia="方正黑体_GBK" w:cs="方正黑体_GBK"/>
          <w:color w:val="auto"/>
          <w:sz w:val="32"/>
          <w:szCs w:val="32"/>
        </w:rPr>
      </w:pPr>
    </w:p>
    <w:p w14:paraId="43A05D75">
      <w:pPr>
        <w:wordWrap w:val="0"/>
        <w:adjustRightInd w:val="0"/>
        <w:snapToGrid w:val="0"/>
        <w:spacing w:line="570" w:lineRule="exact"/>
        <w:ind w:firstLine="630"/>
        <w:rPr>
          <w:rFonts w:ascii="方正黑体_GBK" w:hAnsi="方正黑体_GBK" w:eastAsia="方正黑体_GBK" w:cs="方正黑体_GBK"/>
          <w:color w:val="auto"/>
          <w:sz w:val="32"/>
          <w:szCs w:val="32"/>
        </w:rPr>
      </w:pPr>
    </w:p>
    <w:p w14:paraId="4B89EF9B">
      <w:pPr>
        <w:wordWrap w:val="0"/>
        <w:adjustRightInd w:val="0"/>
        <w:snapToGrid w:val="0"/>
        <w:spacing w:line="570" w:lineRule="exact"/>
        <w:ind w:firstLine="630"/>
        <w:rPr>
          <w:rFonts w:ascii="方正黑体_GBK" w:hAnsi="方正黑体_GBK" w:eastAsia="方正黑体_GBK" w:cs="方正黑体_GBK"/>
          <w:color w:val="auto"/>
          <w:sz w:val="32"/>
          <w:szCs w:val="32"/>
        </w:rPr>
      </w:pPr>
    </w:p>
    <w:p w14:paraId="6F184DDB">
      <w:pPr>
        <w:pStyle w:val="56"/>
        <w:rPr>
          <w:color w:val="auto"/>
        </w:rPr>
      </w:pPr>
    </w:p>
    <w:p w14:paraId="1ADDD855">
      <w:pPr>
        <w:rPr>
          <w:color w:val="auto"/>
        </w:rPr>
      </w:pPr>
    </w:p>
    <w:p w14:paraId="64E2479B">
      <w:pPr>
        <w:wordWrap w:val="0"/>
        <w:adjustRightInd w:val="0"/>
        <w:snapToGrid w:val="0"/>
        <w:spacing w:line="570" w:lineRule="exact"/>
        <w:ind w:firstLine="630"/>
        <w:rPr>
          <w:rFonts w:ascii="方正黑体_GBK" w:hAnsi="方正黑体_GBK" w:eastAsia="方正黑体_GBK" w:cs="方正黑体_GBK"/>
          <w:color w:val="auto"/>
          <w:sz w:val="32"/>
          <w:szCs w:val="32"/>
        </w:rPr>
      </w:pPr>
    </w:p>
    <w:p w14:paraId="58BE464A">
      <w:pPr>
        <w:wordWrap w:val="0"/>
        <w:adjustRightInd w:val="0"/>
        <w:snapToGrid w:val="0"/>
        <w:spacing w:line="570" w:lineRule="exact"/>
        <w:ind w:firstLine="630"/>
        <w:rPr>
          <w:rFonts w:ascii="方正黑体_GBK" w:hAnsi="方正黑体_GBK" w:eastAsia="方正黑体_GBK" w:cs="方正黑体_GBK"/>
          <w:color w:val="auto"/>
          <w:sz w:val="32"/>
          <w:szCs w:val="32"/>
        </w:rPr>
      </w:pPr>
      <w:r>
        <w:rPr>
          <w:rFonts w:hint="eastAsia" w:ascii="方正黑体_GBK" w:hAnsi="方正黑体_GBK" w:eastAsia="方正黑体_GBK" w:cs="方正黑体_GBK"/>
          <w:color w:val="auto"/>
          <w:sz w:val="32"/>
          <w:szCs w:val="32"/>
        </w:rPr>
        <w:t>附件</w:t>
      </w:r>
    </w:p>
    <w:p w14:paraId="655D27BE">
      <w:pPr>
        <w:wordWrap w:val="0"/>
        <w:spacing w:line="570" w:lineRule="exact"/>
        <w:ind w:firstLine="1440" w:firstLineChars="450"/>
        <w:jc w:val="center"/>
        <w:rPr>
          <w:rFonts w:eastAsia="方正小标宋简体"/>
          <w:color w:val="auto"/>
          <w:sz w:val="32"/>
          <w:szCs w:val="32"/>
        </w:rPr>
      </w:pPr>
      <w:r>
        <w:rPr>
          <w:rFonts w:hint="eastAsia" w:eastAsia="方正小标宋简体"/>
          <w:color w:val="auto"/>
          <w:sz w:val="32"/>
          <w:szCs w:val="32"/>
        </w:rPr>
        <w:t xml:space="preserve"> </w:t>
      </w:r>
      <w:r>
        <w:rPr>
          <w:rFonts w:eastAsia="方正小标宋简体"/>
          <w:color w:val="auto"/>
          <w:sz w:val="32"/>
          <w:szCs w:val="32"/>
        </w:rPr>
        <w:t xml:space="preserve">       </w:t>
      </w:r>
      <w:r>
        <w:rPr>
          <w:rFonts w:hint="eastAsia" w:eastAsia="方正小标宋简体"/>
          <w:color w:val="auto"/>
          <w:sz w:val="32"/>
          <w:szCs w:val="32"/>
        </w:rPr>
        <w:t xml:space="preserve">二级建造师注册证书                  </w:t>
      </w:r>
    </w:p>
    <w:p w14:paraId="664371FC">
      <w:pPr>
        <w:spacing w:line="570" w:lineRule="exact"/>
        <w:jc w:val="center"/>
        <w:rPr>
          <w:rFonts w:eastAsia="方正小标宋简体"/>
          <w:color w:val="auto"/>
          <w:sz w:val="32"/>
          <w:szCs w:val="32"/>
        </w:rPr>
      </w:pPr>
      <w:r>
        <w:rPr>
          <w:rFonts w:eastAsia="方正仿宋_GBK"/>
          <w:color w:val="auto"/>
          <w:sz w:val="32"/>
          <w:szCs w:val="32"/>
        </w:rPr>
        <w:drawing>
          <wp:anchor distT="0" distB="0" distL="114300" distR="114300" simplePos="0" relativeHeight="251659264" behindDoc="0" locked="0" layoutInCell="1" allowOverlap="1">
            <wp:simplePos x="0" y="0"/>
            <wp:positionH relativeFrom="column">
              <wp:posOffset>410845</wp:posOffset>
            </wp:positionH>
            <wp:positionV relativeFrom="paragraph">
              <wp:posOffset>454025</wp:posOffset>
            </wp:positionV>
            <wp:extent cx="4699635" cy="6647180"/>
            <wp:effectExtent l="0" t="0" r="5715" b="1270"/>
            <wp:wrapSquare wrapText="bothSides"/>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1"/>
                    <a:stretch>
                      <a:fillRect/>
                    </a:stretch>
                  </pic:blipFill>
                  <pic:spPr>
                    <a:xfrm>
                      <a:off x="0" y="0"/>
                      <a:ext cx="4699635" cy="6647180"/>
                    </a:xfrm>
                    <a:prstGeom prst="rect">
                      <a:avLst/>
                    </a:prstGeom>
                  </pic:spPr>
                </pic:pic>
              </a:graphicData>
            </a:graphic>
          </wp:anchor>
        </w:drawing>
      </w:r>
      <w:r>
        <w:rPr>
          <w:rFonts w:hint="eastAsia" w:eastAsia="方正小标宋简体"/>
          <w:color w:val="auto"/>
          <w:sz w:val="32"/>
          <w:szCs w:val="32"/>
        </w:rPr>
        <w:t>（注册证书电子证照样式）</w:t>
      </w:r>
    </w:p>
    <w:p w14:paraId="1DC58BF8">
      <w:pPr>
        <w:wordWrap w:val="0"/>
        <w:adjustRightInd w:val="0"/>
        <w:snapToGrid w:val="0"/>
        <w:spacing w:line="570" w:lineRule="exact"/>
        <w:ind w:firstLine="640" w:firstLineChars="200"/>
        <w:rPr>
          <w:rFonts w:eastAsia="方正仿宋_GBK"/>
          <w:color w:val="auto"/>
          <w:sz w:val="32"/>
          <w:szCs w:val="32"/>
        </w:rPr>
      </w:pPr>
    </w:p>
    <w:p w14:paraId="57F5D5A7">
      <w:pPr>
        <w:wordWrap w:val="0"/>
        <w:adjustRightInd w:val="0"/>
        <w:snapToGrid w:val="0"/>
        <w:spacing w:line="570" w:lineRule="exact"/>
        <w:ind w:firstLine="640" w:firstLineChars="200"/>
        <w:rPr>
          <w:rFonts w:eastAsia="方正仿宋_GBK"/>
          <w:color w:val="auto"/>
          <w:sz w:val="32"/>
          <w:szCs w:val="32"/>
        </w:rPr>
      </w:pPr>
    </w:p>
    <w:p w14:paraId="3C1E4E71">
      <w:pPr>
        <w:wordWrap w:val="0"/>
        <w:adjustRightInd w:val="0"/>
        <w:snapToGrid w:val="0"/>
        <w:spacing w:line="570" w:lineRule="exact"/>
        <w:ind w:firstLine="640" w:firstLineChars="200"/>
        <w:rPr>
          <w:rFonts w:eastAsia="方正仿宋_GBK"/>
          <w:color w:val="auto"/>
          <w:sz w:val="32"/>
          <w:szCs w:val="32"/>
        </w:rPr>
      </w:pPr>
    </w:p>
    <w:p w14:paraId="5E997429">
      <w:pPr>
        <w:wordWrap w:val="0"/>
        <w:adjustRightInd w:val="0"/>
        <w:snapToGrid w:val="0"/>
        <w:spacing w:line="570" w:lineRule="exact"/>
        <w:ind w:firstLine="640" w:firstLineChars="200"/>
        <w:rPr>
          <w:rFonts w:eastAsia="方正仿宋_GBK"/>
          <w:color w:val="auto"/>
          <w:sz w:val="32"/>
          <w:szCs w:val="32"/>
        </w:rPr>
      </w:pPr>
    </w:p>
    <w:p w14:paraId="08DCDF90">
      <w:pPr>
        <w:wordWrap w:val="0"/>
        <w:adjustRightInd w:val="0"/>
        <w:snapToGrid w:val="0"/>
        <w:spacing w:line="570" w:lineRule="exact"/>
        <w:ind w:firstLine="640" w:firstLineChars="200"/>
        <w:rPr>
          <w:rFonts w:eastAsia="方正仿宋_GBK"/>
          <w:color w:val="auto"/>
          <w:sz w:val="32"/>
          <w:szCs w:val="32"/>
        </w:rPr>
      </w:pPr>
    </w:p>
    <w:p w14:paraId="7681C6C6">
      <w:pPr>
        <w:wordWrap w:val="0"/>
        <w:adjustRightInd w:val="0"/>
        <w:snapToGrid w:val="0"/>
        <w:spacing w:line="570" w:lineRule="exact"/>
        <w:ind w:firstLine="640" w:firstLineChars="200"/>
        <w:rPr>
          <w:rFonts w:eastAsia="方正仿宋_GBK"/>
          <w:color w:val="auto"/>
          <w:sz w:val="32"/>
          <w:szCs w:val="32"/>
        </w:rPr>
      </w:pPr>
    </w:p>
    <w:p w14:paraId="19B6617D">
      <w:pPr>
        <w:wordWrap w:val="0"/>
        <w:adjustRightInd w:val="0"/>
        <w:snapToGrid w:val="0"/>
        <w:spacing w:line="570" w:lineRule="exact"/>
        <w:ind w:firstLine="640" w:firstLineChars="200"/>
        <w:rPr>
          <w:rFonts w:eastAsia="方正小标宋简体"/>
          <w:color w:val="auto"/>
          <w:sz w:val="32"/>
          <w:szCs w:val="32"/>
        </w:rPr>
      </w:pPr>
    </w:p>
    <w:p w14:paraId="3FD752A8">
      <w:pPr>
        <w:pStyle w:val="36"/>
        <w:rPr>
          <w:color w:val="auto"/>
        </w:rPr>
      </w:pPr>
    </w:p>
    <w:p w14:paraId="1BF53407">
      <w:pPr>
        <w:pStyle w:val="14"/>
        <w:rPr>
          <w:color w:val="auto"/>
        </w:rPr>
      </w:pPr>
    </w:p>
    <w:p w14:paraId="6DD0A595">
      <w:pPr>
        <w:rPr>
          <w:color w:val="auto"/>
        </w:rPr>
      </w:pPr>
    </w:p>
    <w:p w14:paraId="16465A5A">
      <w:pPr>
        <w:pStyle w:val="36"/>
        <w:rPr>
          <w:color w:val="auto"/>
        </w:rPr>
      </w:pPr>
    </w:p>
    <w:p w14:paraId="25A48D65">
      <w:pPr>
        <w:pStyle w:val="14"/>
        <w:rPr>
          <w:color w:val="auto"/>
        </w:rPr>
      </w:pPr>
    </w:p>
    <w:p w14:paraId="6621DCA5">
      <w:pPr>
        <w:rPr>
          <w:color w:val="auto"/>
        </w:rPr>
      </w:pPr>
    </w:p>
    <w:p w14:paraId="4122B2E9">
      <w:pPr>
        <w:pStyle w:val="36"/>
        <w:rPr>
          <w:color w:val="auto"/>
        </w:rPr>
      </w:pPr>
    </w:p>
    <w:p w14:paraId="6D82878E">
      <w:pPr>
        <w:pStyle w:val="14"/>
        <w:rPr>
          <w:color w:val="auto"/>
        </w:rPr>
      </w:pPr>
    </w:p>
    <w:p w14:paraId="78925BC4">
      <w:pPr>
        <w:rPr>
          <w:color w:val="auto"/>
        </w:rPr>
      </w:pPr>
    </w:p>
    <w:p w14:paraId="0E9D06A4">
      <w:pPr>
        <w:pStyle w:val="36"/>
        <w:rPr>
          <w:color w:val="auto"/>
        </w:rPr>
      </w:pPr>
    </w:p>
    <w:p w14:paraId="3A61C097">
      <w:pPr>
        <w:pStyle w:val="14"/>
        <w:rPr>
          <w:color w:val="auto"/>
        </w:rPr>
      </w:pPr>
    </w:p>
    <w:p w14:paraId="723B78EF">
      <w:pPr>
        <w:rPr>
          <w:color w:val="auto"/>
        </w:rPr>
      </w:pPr>
    </w:p>
    <w:p w14:paraId="1EA8CE5C">
      <w:pPr>
        <w:pStyle w:val="36"/>
        <w:rPr>
          <w:color w:val="auto"/>
        </w:rPr>
      </w:pPr>
    </w:p>
    <w:p w14:paraId="3DB4A808">
      <w:pPr>
        <w:pStyle w:val="14"/>
        <w:rPr>
          <w:color w:val="auto"/>
        </w:rPr>
      </w:pPr>
    </w:p>
    <w:p w14:paraId="40D66D46">
      <w:pPr>
        <w:rPr>
          <w:color w:val="auto"/>
        </w:rPr>
      </w:pPr>
    </w:p>
    <w:p w14:paraId="76522357">
      <w:pPr>
        <w:pStyle w:val="36"/>
        <w:rPr>
          <w:color w:val="auto"/>
        </w:rPr>
      </w:pPr>
    </w:p>
    <w:p w14:paraId="625CF640">
      <w:pPr>
        <w:pStyle w:val="14"/>
        <w:rPr>
          <w:color w:val="auto"/>
        </w:rPr>
      </w:pPr>
    </w:p>
    <w:p w14:paraId="6AB94056">
      <w:pPr>
        <w:rPr>
          <w:color w:val="auto"/>
        </w:rPr>
      </w:pPr>
    </w:p>
    <w:p w14:paraId="0616022E">
      <w:pPr>
        <w:pStyle w:val="36"/>
        <w:rPr>
          <w:color w:val="auto"/>
        </w:rPr>
      </w:pPr>
    </w:p>
    <w:p w14:paraId="769CC1C8">
      <w:pPr>
        <w:pStyle w:val="14"/>
        <w:rPr>
          <w:color w:val="auto"/>
        </w:rPr>
      </w:pPr>
    </w:p>
    <w:p w14:paraId="05699325">
      <w:pPr>
        <w:rPr>
          <w:color w:val="auto"/>
        </w:rPr>
      </w:pPr>
    </w:p>
    <w:p w14:paraId="5DA35049">
      <w:pPr>
        <w:pStyle w:val="56"/>
        <w:rPr>
          <w:color w:val="auto"/>
        </w:rPr>
      </w:pPr>
    </w:p>
    <w:p w14:paraId="5D63E6D4">
      <w:pPr>
        <w:rPr>
          <w:color w:val="auto"/>
        </w:rPr>
      </w:pPr>
    </w:p>
    <w:p w14:paraId="09F9C57E">
      <w:pPr>
        <w:pStyle w:val="56"/>
        <w:rPr>
          <w:color w:val="auto"/>
        </w:rPr>
      </w:pPr>
    </w:p>
    <w:p w14:paraId="6C9234F4">
      <w:pPr>
        <w:rPr>
          <w:color w:val="auto"/>
        </w:rPr>
      </w:pPr>
    </w:p>
    <w:p w14:paraId="39CEBB76">
      <w:pPr>
        <w:pStyle w:val="56"/>
        <w:rPr>
          <w:color w:val="auto"/>
        </w:rPr>
      </w:pPr>
    </w:p>
    <w:p w14:paraId="78FAE638">
      <w:pPr>
        <w:spacing w:line="420" w:lineRule="exact"/>
        <w:ind w:firstLine="422" w:firstLineChars="200"/>
        <w:rPr>
          <w:rFonts w:asciiTheme="minorEastAsia" w:hAnsiTheme="minorEastAsia" w:eastAsiaTheme="minorEastAsia" w:cstheme="minorEastAsia"/>
          <w:b/>
          <w:bCs/>
          <w:color w:val="auto"/>
          <w:szCs w:val="21"/>
        </w:rPr>
      </w:pPr>
    </w:p>
    <w:bookmarkEnd w:id="29"/>
    <w:p w14:paraId="75643040">
      <w:pPr>
        <w:pStyle w:val="2"/>
        <w:jc w:val="center"/>
        <w:rPr>
          <w:rFonts w:eastAsia="华文中宋"/>
          <w:color w:val="auto"/>
          <w:sz w:val="52"/>
          <w:szCs w:val="52"/>
        </w:rPr>
      </w:pPr>
      <w:bookmarkStart w:id="30" w:name="_Toc388540283"/>
      <w:r>
        <w:rPr>
          <w:rFonts w:hAnsi="宋体"/>
          <w:color w:val="auto"/>
          <w:sz w:val="36"/>
          <w:szCs w:val="36"/>
        </w:rPr>
        <w:t>第三章</w:t>
      </w:r>
      <w:r>
        <w:rPr>
          <w:rFonts w:hint="eastAsia" w:hAnsi="宋体"/>
          <w:color w:val="auto"/>
          <w:sz w:val="36"/>
          <w:szCs w:val="36"/>
        </w:rPr>
        <w:t xml:space="preserve"> 建设工程施工合同</w:t>
      </w:r>
    </w:p>
    <w:p w14:paraId="40685433">
      <w:pPr>
        <w:keepNext/>
        <w:keepLines/>
        <w:autoSpaceDE w:val="0"/>
        <w:autoSpaceDN w:val="0"/>
        <w:adjustRightInd w:val="0"/>
        <w:spacing w:before="260" w:after="260" w:line="360" w:lineRule="auto"/>
        <w:jc w:val="center"/>
        <w:outlineLvl w:val="1"/>
        <w:rPr>
          <w:rFonts w:ascii="宋体" w:hAnsi="宋体" w:cs="黑体"/>
          <w:color w:val="auto"/>
          <w:kern w:val="0"/>
          <w:sz w:val="30"/>
          <w:szCs w:val="30"/>
          <w:lang w:val="zh-CN"/>
        </w:rPr>
      </w:pPr>
      <w:bookmarkStart w:id="31" w:name="_Toc388540280"/>
      <w:bookmarkStart w:id="32" w:name="_Toc378259832"/>
      <w:r>
        <w:rPr>
          <w:rFonts w:hint="eastAsia" w:ascii="宋体" w:hAnsi="宋体" w:cs="黑体"/>
          <w:b/>
          <w:bCs/>
          <w:color w:val="auto"/>
          <w:kern w:val="0"/>
          <w:sz w:val="30"/>
          <w:szCs w:val="30"/>
          <w:lang w:val="zh-CN"/>
        </w:rPr>
        <w:t>第一部分合同协议书</w:t>
      </w:r>
      <w:bookmarkEnd w:id="31"/>
      <w:bookmarkEnd w:id="32"/>
    </w:p>
    <w:p w14:paraId="1618B1E6">
      <w:pPr>
        <w:spacing w:line="420" w:lineRule="exact"/>
        <w:ind w:firstLine="480" w:firstLineChars="200"/>
        <w:rPr>
          <w:rFonts w:asciiTheme="minorEastAsia" w:hAnsiTheme="minorEastAsia" w:eastAsiaTheme="minorEastAsia"/>
          <w:color w:val="auto"/>
          <w:sz w:val="24"/>
          <w:u w:val="single"/>
        </w:rPr>
      </w:pPr>
      <w:r>
        <w:rPr>
          <w:rFonts w:hint="eastAsia" w:asciiTheme="minorEastAsia" w:hAnsiTheme="minorEastAsia" w:eastAsiaTheme="minorEastAsia"/>
          <w:color w:val="auto"/>
          <w:sz w:val="24"/>
        </w:rPr>
        <w:t>发包人（全称）：</w:t>
      </w:r>
      <w:r>
        <w:rPr>
          <w:rFonts w:hint="eastAsia" w:asciiTheme="minorEastAsia" w:hAnsiTheme="minorEastAsia" w:eastAsiaTheme="minorEastAsia"/>
          <w:color w:val="auto"/>
          <w:sz w:val="24"/>
          <w:u w:val="single"/>
        </w:rPr>
        <w:t xml:space="preserve">                        </w:t>
      </w:r>
    </w:p>
    <w:p w14:paraId="1B543782">
      <w:pPr>
        <w:spacing w:line="420" w:lineRule="exact"/>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rPr>
        <w:t>承包人（全称）：</w:t>
      </w:r>
      <w:r>
        <w:rPr>
          <w:rFonts w:hint="eastAsia" w:asciiTheme="minorEastAsia" w:hAnsiTheme="minorEastAsia" w:eastAsiaTheme="minorEastAsia"/>
          <w:color w:val="auto"/>
          <w:sz w:val="24"/>
          <w:u w:val="single"/>
        </w:rPr>
        <w:t xml:space="preserve">                        </w:t>
      </w:r>
    </w:p>
    <w:p w14:paraId="3C51F3FE">
      <w:pPr>
        <w:widowControl/>
        <w:spacing w:line="440" w:lineRule="exact"/>
        <w:ind w:firstLine="480" w:firstLineChars="200"/>
        <w:rPr>
          <w:rFonts w:asciiTheme="minorEastAsia" w:hAnsiTheme="minorEastAsia" w:eastAsiaTheme="minorEastAsia"/>
          <w:color w:val="auto"/>
          <w:sz w:val="24"/>
          <w:u w:val="single"/>
        </w:rPr>
      </w:pPr>
      <w:r>
        <w:rPr>
          <w:rFonts w:hint="eastAsia" w:asciiTheme="minorEastAsia" w:hAnsiTheme="minorEastAsia" w:eastAsiaTheme="minorEastAsia"/>
          <w:color w:val="auto"/>
          <w:sz w:val="24"/>
        </w:rPr>
        <w:t>根据《中华人民共和国民法典》、《中华人民共和国建筑法》及有关法律规定，遵循平等、自愿、公平和诚实信用的原则，双方就</w:t>
      </w:r>
      <w:r>
        <w:rPr>
          <w:rFonts w:hint="eastAsia" w:asciiTheme="minorEastAsia" w:hAnsiTheme="minorEastAsia" w:eastAsiaTheme="minorEastAsia"/>
          <w:color w:val="auto"/>
          <w:sz w:val="24"/>
          <w:u w:val="single"/>
        </w:rPr>
        <w:t xml:space="preserve"> </w:t>
      </w:r>
      <w:r>
        <w:rPr>
          <w:rFonts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施工及有关事项协商一致，共同达成如下协议：</w:t>
      </w:r>
    </w:p>
    <w:p w14:paraId="335BFA2F">
      <w:pPr>
        <w:spacing w:line="420" w:lineRule="exact"/>
        <w:ind w:firstLine="482" w:firstLineChars="200"/>
        <w:rPr>
          <w:rFonts w:asciiTheme="minorEastAsia" w:hAnsiTheme="minorEastAsia" w:eastAsiaTheme="minorEastAsia"/>
          <w:b/>
          <w:color w:val="auto"/>
          <w:sz w:val="24"/>
        </w:rPr>
      </w:pPr>
      <w:bookmarkStart w:id="33" w:name="_Toc351203481"/>
      <w:r>
        <w:rPr>
          <w:rFonts w:hint="eastAsia" w:asciiTheme="minorEastAsia" w:hAnsiTheme="minorEastAsia" w:eastAsiaTheme="minorEastAsia"/>
          <w:b/>
          <w:color w:val="auto"/>
          <w:sz w:val="24"/>
        </w:rPr>
        <w:t>一、工程概况</w:t>
      </w:r>
      <w:bookmarkEnd w:id="33"/>
    </w:p>
    <w:p w14:paraId="19AFEBB7">
      <w:pPr>
        <w:spacing w:line="420" w:lineRule="exact"/>
        <w:ind w:firstLine="480" w:firstLineChars="200"/>
        <w:rPr>
          <w:rFonts w:asciiTheme="minorEastAsia" w:hAnsiTheme="minorEastAsia" w:eastAsiaTheme="minorEastAsia"/>
          <w:color w:val="auto"/>
          <w:sz w:val="24"/>
          <w:u w:val="single"/>
        </w:rPr>
      </w:pPr>
      <w:r>
        <w:rPr>
          <w:rFonts w:hint="eastAsia" w:asciiTheme="minorEastAsia" w:hAnsiTheme="minorEastAsia" w:eastAsiaTheme="minorEastAsia"/>
          <w:color w:val="auto"/>
          <w:sz w:val="24"/>
        </w:rPr>
        <w:t>1.工程名称：</w:t>
      </w:r>
      <w:r>
        <w:rPr>
          <w:rFonts w:hint="eastAsia" w:asciiTheme="minorEastAsia" w:hAnsiTheme="minorEastAsia" w:eastAsiaTheme="minorEastAsia"/>
          <w:color w:val="auto"/>
          <w:sz w:val="24"/>
          <w:u w:val="single"/>
        </w:rPr>
        <w:t xml:space="preserve">                </w:t>
      </w:r>
    </w:p>
    <w:p w14:paraId="181AD26C">
      <w:pPr>
        <w:spacing w:line="420" w:lineRule="exact"/>
        <w:ind w:firstLine="480" w:firstLineChars="200"/>
        <w:rPr>
          <w:rFonts w:asciiTheme="minorEastAsia" w:hAnsiTheme="minorEastAsia" w:eastAsiaTheme="minorEastAsia"/>
          <w:b/>
          <w:color w:val="auto"/>
          <w:sz w:val="24"/>
        </w:rPr>
      </w:pPr>
      <w:r>
        <w:rPr>
          <w:rFonts w:hint="eastAsia" w:asciiTheme="minorEastAsia" w:hAnsiTheme="minorEastAsia" w:eastAsiaTheme="minorEastAsia"/>
          <w:color w:val="auto"/>
          <w:sz w:val="24"/>
        </w:rPr>
        <w:t>2.工程地点：</w:t>
      </w:r>
      <w:r>
        <w:rPr>
          <w:rFonts w:hint="eastAsia" w:asciiTheme="minorEastAsia" w:hAnsiTheme="minorEastAsia" w:eastAsiaTheme="minorEastAsia"/>
          <w:color w:val="auto"/>
          <w:sz w:val="24"/>
          <w:u w:val="single"/>
        </w:rPr>
        <w:t xml:space="preserve">                </w:t>
      </w:r>
    </w:p>
    <w:p w14:paraId="6F53C652">
      <w:pPr>
        <w:widowControl/>
        <w:spacing w:line="420" w:lineRule="exact"/>
        <w:ind w:firstLine="480" w:firstLineChars="200"/>
        <w:rPr>
          <w:rFonts w:asciiTheme="minorEastAsia" w:hAnsiTheme="minorEastAsia" w:eastAsiaTheme="minorEastAsia"/>
          <w:color w:val="auto"/>
          <w:sz w:val="24"/>
          <w:u w:val="single"/>
        </w:rPr>
      </w:pPr>
      <w:r>
        <w:rPr>
          <w:rFonts w:hint="eastAsia" w:asciiTheme="minorEastAsia" w:hAnsiTheme="minorEastAsia" w:eastAsiaTheme="minorEastAsia"/>
          <w:color w:val="auto"/>
          <w:sz w:val="24"/>
        </w:rPr>
        <w:t>3.工程立项批准文号：</w:t>
      </w:r>
      <w:r>
        <w:rPr>
          <w:rFonts w:hint="eastAsia" w:asciiTheme="minorEastAsia" w:hAnsiTheme="minorEastAsia" w:eastAsiaTheme="minorEastAsia"/>
          <w:color w:val="auto"/>
          <w:sz w:val="24"/>
          <w:u w:val="single"/>
        </w:rPr>
        <w:t xml:space="preserve">                </w:t>
      </w:r>
    </w:p>
    <w:p w14:paraId="7540B2C0">
      <w:pPr>
        <w:spacing w:line="420" w:lineRule="exact"/>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rPr>
        <w:t>4.资金来源：</w:t>
      </w:r>
      <w:r>
        <w:rPr>
          <w:rFonts w:hint="eastAsia" w:asciiTheme="minorEastAsia" w:hAnsiTheme="minorEastAsia" w:eastAsiaTheme="minorEastAsia"/>
          <w:color w:val="auto"/>
          <w:sz w:val="24"/>
          <w:u w:val="single"/>
        </w:rPr>
        <w:t xml:space="preserve">  自筹  </w:t>
      </w:r>
    </w:p>
    <w:p w14:paraId="53AD6ADF">
      <w:pPr>
        <w:widowControl/>
        <w:spacing w:line="0" w:lineRule="atLeast"/>
        <w:ind w:firstLine="480" w:firstLineChars="200"/>
        <w:jc w:val="left"/>
        <w:rPr>
          <w:rFonts w:asciiTheme="minorEastAsia" w:hAnsiTheme="minorEastAsia" w:eastAsiaTheme="minorEastAsia"/>
          <w:color w:val="auto"/>
          <w:sz w:val="24"/>
          <w:u w:val="single"/>
        </w:rPr>
      </w:pPr>
      <w:r>
        <w:rPr>
          <w:rFonts w:hint="eastAsia" w:asciiTheme="minorEastAsia" w:hAnsiTheme="minorEastAsia" w:eastAsiaTheme="minorEastAsia"/>
          <w:color w:val="auto"/>
          <w:sz w:val="24"/>
        </w:rPr>
        <w:t>5.工程内容：</w:t>
      </w:r>
      <w:r>
        <w:rPr>
          <w:rFonts w:hint="eastAsia" w:asciiTheme="minorEastAsia" w:hAnsiTheme="minorEastAsia" w:eastAsiaTheme="minorEastAsia"/>
          <w:color w:val="auto"/>
          <w:sz w:val="24"/>
          <w:u w:val="single"/>
        </w:rPr>
        <w:t xml:space="preserve">                </w:t>
      </w:r>
    </w:p>
    <w:p w14:paraId="41EE5167">
      <w:pPr>
        <w:spacing w:line="420" w:lineRule="exact"/>
        <w:ind w:firstLine="480" w:firstLineChars="200"/>
        <w:rPr>
          <w:rFonts w:asciiTheme="minorEastAsia" w:hAnsiTheme="minorEastAsia" w:eastAsiaTheme="minorEastAsia"/>
          <w:color w:val="auto"/>
          <w:sz w:val="24"/>
          <w:u w:val="single"/>
        </w:rPr>
      </w:pPr>
      <w:r>
        <w:rPr>
          <w:rFonts w:hint="eastAsia" w:asciiTheme="minorEastAsia" w:hAnsiTheme="minorEastAsia" w:eastAsiaTheme="minorEastAsia"/>
          <w:color w:val="auto"/>
          <w:sz w:val="24"/>
        </w:rPr>
        <w:t>6.工程承包范围：</w:t>
      </w:r>
      <w:bookmarkStart w:id="34" w:name="_Toc351203482"/>
      <w:r>
        <w:rPr>
          <w:rFonts w:hint="eastAsia" w:asciiTheme="minorEastAsia" w:hAnsiTheme="minorEastAsia" w:eastAsiaTheme="minorEastAsia"/>
          <w:color w:val="auto"/>
          <w:sz w:val="24"/>
          <w:u w:val="single"/>
        </w:rPr>
        <w:t xml:space="preserve">同工程内容 </w:t>
      </w:r>
    </w:p>
    <w:p w14:paraId="129ACB50">
      <w:pPr>
        <w:spacing w:line="420" w:lineRule="exact"/>
        <w:ind w:firstLine="482" w:firstLineChars="200"/>
        <w:rPr>
          <w:rFonts w:asciiTheme="minorEastAsia" w:hAnsiTheme="minorEastAsia" w:eastAsiaTheme="minorEastAsia"/>
          <w:b/>
          <w:color w:val="auto"/>
          <w:sz w:val="24"/>
        </w:rPr>
      </w:pPr>
      <w:r>
        <w:rPr>
          <w:rFonts w:hint="eastAsia" w:asciiTheme="minorEastAsia" w:hAnsiTheme="minorEastAsia" w:eastAsiaTheme="minorEastAsia"/>
          <w:b/>
          <w:color w:val="auto"/>
          <w:sz w:val="24"/>
        </w:rPr>
        <w:t>二、合同工期</w:t>
      </w:r>
      <w:bookmarkEnd w:id="34"/>
    </w:p>
    <w:p w14:paraId="65288FFE">
      <w:pPr>
        <w:spacing w:line="420" w:lineRule="exact"/>
        <w:ind w:firstLine="480" w:firstLineChars="200"/>
        <w:rPr>
          <w:rFonts w:hint="eastAsia" w:eastAsia="宋体" w:asciiTheme="minorEastAsia" w:hAnsiTheme="minorEastAsia"/>
          <w:color w:val="auto"/>
          <w:sz w:val="24"/>
          <w:lang w:eastAsia="zh-CN"/>
        </w:rPr>
      </w:pPr>
      <w:r>
        <w:rPr>
          <w:rFonts w:hint="eastAsia" w:asciiTheme="minorEastAsia" w:hAnsiTheme="minorEastAsia" w:eastAsiaTheme="minorEastAsia"/>
          <w:color w:val="auto"/>
          <w:sz w:val="24"/>
          <w:u w:val="single"/>
        </w:rPr>
        <w:t>2</w:t>
      </w:r>
      <w:r>
        <w:rPr>
          <w:rFonts w:asciiTheme="minorEastAsia" w:hAnsiTheme="minorEastAsia" w:eastAsiaTheme="minorEastAsia"/>
          <w:color w:val="auto"/>
          <w:sz w:val="24"/>
          <w:u w:val="single"/>
        </w:rPr>
        <w:t>02</w:t>
      </w:r>
      <w:r>
        <w:rPr>
          <w:rFonts w:hint="eastAsia" w:asciiTheme="minorEastAsia" w:hAnsiTheme="minorEastAsia" w:eastAsiaTheme="minorEastAsia"/>
          <w:color w:val="auto"/>
          <w:sz w:val="24"/>
          <w:u w:val="single"/>
          <w:lang w:val="en-US" w:eastAsia="zh-CN"/>
        </w:rPr>
        <w:t>6</w:t>
      </w:r>
      <w:r>
        <w:rPr>
          <w:rFonts w:hint="eastAsia" w:asciiTheme="minorEastAsia" w:hAnsiTheme="minorEastAsia" w:eastAsiaTheme="minorEastAsia"/>
          <w:color w:val="auto"/>
          <w:sz w:val="24"/>
        </w:rPr>
        <w:t>年</w:t>
      </w:r>
      <w:r>
        <w:rPr>
          <w:rFonts w:hint="eastAsia" w:asciiTheme="minorEastAsia" w:hAnsiTheme="minorEastAsia" w:eastAsiaTheme="minorEastAsia"/>
          <w:color w:val="auto"/>
          <w:sz w:val="24"/>
          <w:u w:val="single"/>
        </w:rPr>
        <w:t xml:space="preserve"> </w:t>
      </w:r>
      <w:r>
        <w:rPr>
          <w:rFonts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月</w:t>
      </w:r>
      <w:r>
        <w:rPr>
          <w:rFonts w:hint="eastAsia" w:asciiTheme="minorEastAsia" w:hAnsiTheme="minorEastAsia" w:eastAsiaTheme="minorEastAsia"/>
          <w:color w:val="auto"/>
          <w:sz w:val="24"/>
          <w:u w:val="single"/>
        </w:rPr>
        <w:t xml:space="preserve"> </w:t>
      </w:r>
      <w:r>
        <w:rPr>
          <w:rFonts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日~</w:t>
      </w:r>
      <w:r>
        <w:rPr>
          <w:rFonts w:asciiTheme="minorEastAsia" w:hAnsiTheme="minorEastAsia" w:eastAsiaTheme="minorEastAsia"/>
          <w:color w:val="auto"/>
          <w:sz w:val="24"/>
          <w:u w:val="single"/>
        </w:rPr>
        <w:t>202</w:t>
      </w:r>
      <w:r>
        <w:rPr>
          <w:rFonts w:hint="eastAsia" w:asciiTheme="minorEastAsia" w:hAnsiTheme="minorEastAsia" w:eastAsiaTheme="minorEastAsia"/>
          <w:color w:val="auto"/>
          <w:sz w:val="24"/>
          <w:u w:val="single"/>
          <w:lang w:val="en-US" w:eastAsia="zh-CN"/>
        </w:rPr>
        <w:t>6</w:t>
      </w:r>
      <w:r>
        <w:rPr>
          <w:rFonts w:hint="eastAsia" w:asciiTheme="minorEastAsia" w:hAnsiTheme="minorEastAsia" w:eastAsiaTheme="minorEastAsia"/>
          <w:color w:val="auto"/>
          <w:sz w:val="24"/>
        </w:rPr>
        <w:t>年</w:t>
      </w:r>
      <w:r>
        <w:rPr>
          <w:rFonts w:hint="eastAsia" w:asciiTheme="minorEastAsia" w:hAnsiTheme="minorEastAsia" w:eastAsiaTheme="minorEastAsia"/>
          <w:color w:val="auto"/>
          <w:sz w:val="24"/>
          <w:u w:val="single"/>
        </w:rPr>
        <w:t xml:space="preserve"> </w:t>
      </w:r>
      <w:r>
        <w:rPr>
          <w:rFonts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月</w:t>
      </w:r>
      <w:r>
        <w:rPr>
          <w:rFonts w:hint="eastAsia" w:asciiTheme="minorEastAsia" w:hAnsiTheme="minorEastAsia" w:eastAsiaTheme="minorEastAsia"/>
          <w:color w:val="auto"/>
          <w:sz w:val="24"/>
          <w:u w:val="single"/>
        </w:rPr>
        <w:t xml:space="preserve"> </w:t>
      </w:r>
      <w:r>
        <w:rPr>
          <w:rFonts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日，</w:t>
      </w:r>
      <w:r>
        <w:rPr>
          <w:rFonts w:hint="eastAsia" w:asciiTheme="minorEastAsia" w:hAnsiTheme="minorEastAsia" w:eastAsiaTheme="minorEastAsia"/>
          <w:color w:val="auto"/>
          <w:sz w:val="24"/>
          <w:u w:val="single"/>
        </w:rPr>
        <w:t xml:space="preserve"> </w:t>
      </w:r>
      <w:r>
        <w:rPr>
          <w:rFonts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日历天</w:t>
      </w:r>
      <w:r>
        <w:rPr>
          <w:rFonts w:hint="eastAsia" w:ascii="宋体" w:hAnsi="宋体" w:cs="宋体"/>
          <w:color w:val="auto"/>
          <w:sz w:val="24"/>
        </w:rPr>
        <w:t>（具体开工时间以发包人签发的开工通知书为准）</w:t>
      </w:r>
      <w:r>
        <w:rPr>
          <w:rFonts w:hint="eastAsia" w:ascii="宋体" w:hAnsi="宋体" w:cs="宋体"/>
          <w:color w:val="auto"/>
          <w:sz w:val="24"/>
          <w:lang w:eastAsia="zh-CN"/>
        </w:rPr>
        <w:t>。</w:t>
      </w:r>
    </w:p>
    <w:p w14:paraId="373F2F11">
      <w:pPr>
        <w:spacing w:line="420" w:lineRule="exact"/>
        <w:ind w:firstLine="482" w:firstLineChars="200"/>
        <w:rPr>
          <w:rFonts w:asciiTheme="minorEastAsia" w:hAnsiTheme="minorEastAsia" w:eastAsiaTheme="minorEastAsia"/>
          <w:b/>
          <w:color w:val="auto"/>
          <w:sz w:val="24"/>
        </w:rPr>
      </w:pPr>
      <w:bookmarkStart w:id="35" w:name="_Toc351203483"/>
      <w:r>
        <w:rPr>
          <w:rFonts w:hint="eastAsia" w:asciiTheme="minorEastAsia" w:hAnsiTheme="minorEastAsia" w:eastAsiaTheme="minorEastAsia"/>
          <w:b/>
          <w:color w:val="auto"/>
          <w:sz w:val="24"/>
        </w:rPr>
        <w:t>三、质量标准</w:t>
      </w:r>
      <w:bookmarkEnd w:id="35"/>
    </w:p>
    <w:p w14:paraId="12989B10">
      <w:pPr>
        <w:spacing w:line="420" w:lineRule="exact"/>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rPr>
        <w:t>工程质量符合</w:t>
      </w:r>
      <w:r>
        <w:rPr>
          <w:rFonts w:hint="eastAsia" w:asciiTheme="minorEastAsia" w:hAnsiTheme="minorEastAsia" w:eastAsiaTheme="minorEastAsia"/>
          <w:color w:val="auto"/>
          <w:sz w:val="24"/>
          <w:u w:val="single"/>
        </w:rPr>
        <w:t xml:space="preserve"> 合格</w:t>
      </w:r>
      <w:r>
        <w:rPr>
          <w:rFonts w:hint="eastAsia" w:eastAsia="仿宋_GB2312"/>
          <w:color w:val="auto"/>
          <w:sz w:val="24"/>
          <w:u w:val="single"/>
          <w:lang w:val="en-US" w:eastAsia="zh-CN"/>
        </w:rPr>
        <w:t xml:space="preserve"> </w:t>
      </w:r>
      <w:r>
        <w:rPr>
          <w:rFonts w:hint="eastAsia"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标准。</w:t>
      </w:r>
    </w:p>
    <w:p w14:paraId="5E8DD996">
      <w:pPr>
        <w:spacing w:line="420" w:lineRule="exact"/>
        <w:ind w:firstLine="482" w:firstLineChars="200"/>
        <w:rPr>
          <w:rFonts w:asciiTheme="minorEastAsia" w:hAnsiTheme="minorEastAsia" w:eastAsiaTheme="minorEastAsia"/>
          <w:b/>
          <w:color w:val="auto"/>
          <w:sz w:val="24"/>
        </w:rPr>
      </w:pPr>
      <w:bookmarkStart w:id="36" w:name="_Toc351203484"/>
      <w:r>
        <w:rPr>
          <w:rFonts w:hint="eastAsia" w:asciiTheme="minorEastAsia" w:hAnsiTheme="minorEastAsia" w:eastAsiaTheme="minorEastAsia"/>
          <w:b/>
          <w:color w:val="auto"/>
          <w:sz w:val="24"/>
        </w:rPr>
        <w:t>四、签约合同价与合同价格形式</w:t>
      </w:r>
      <w:bookmarkEnd w:id="36"/>
      <w:r>
        <w:rPr>
          <w:rFonts w:hint="eastAsia" w:asciiTheme="minorEastAsia" w:hAnsiTheme="minorEastAsia" w:eastAsiaTheme="minorEastAsia"/>
          <w:b/>
          <w:color w:val="auto"/>
          <w:sz w:val="24"/>
        </w:rPr>
        <w:tab/>
      </w:r>
    </w:p>
    <w:p w14:paraId="41E62A6E">
      <w:pPr>
        <w:spacing w:line="420" w:lineRule="exact"/>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rPr>
        <w:t>1.签约合同价为：</w:t>
      </w:r>
    </w:p>
    <w:p w14:paraId="530517CE">
      <w:pPr>
        <w:spacing w:line="420" w:lineRule="exact"/>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rPr>
        <w:t>人民币（大写）</w:t>
      </w:r>
      <w:r>
        <w:rPr>
          <w:rFonts w:hint="eastAsia"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 xml:space="preserve"> (¥ </w:t>
      </w:r>
      <w:r>
        <w:rPr>
          <w:rFonts w:hint="eastAsia"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元)；</w:t>
      </w:r>
    </w:p>
    <w:p w14:paraId="547CD1E2">
      <w:pPr>
        <w:spacing w:line="420" w:lineRule="exact"/>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rPr>
        <w:t>2.合同价格形式：</w:t>
      </w:r>
      <w:r>
        <w:rPr>
          <w:rFonts w:hint="eastAsia" w:asciiTheme="minorEastAsia" w:hAnsiTheme="minorEastAsia" w:eastAsiaTheme="minorEastAsia"/>
          <w:b/>
          <w:color w:val="auto"/>
          <w:sz w:val="24"/>
          <w:u w:val="single"/>
        </w:rPr>
        <w:t>固定单价合同</w:t>
      </w:r>
      <w:r>
        <w:rPr>
          <w:rFonts w:hint="eastAsia" w:asciiTheme="minorEastAsia" w:hAnsiTheme="minorEastAsia" w:eastAsiaTheme="minorEastAsia"/>
          <w:color w:val="auto"/>
          <w:sz w:val="24"/>
        </w:rPr>
        <w:t>。</w:t>
      </w:r>
    </w:p>
    <w:p w14:paraId="21ED4DA7">
      <w:pPr>
        <w:spacing w:line="420" w:lineRule="exact"/>
        <w:ind w:firstLine="482" w:firstLineChars="200"/>
        <w:rPr>
          <w:rFonts w:asciiTheme="minorEastAsia" w:hAnsiTheme="minorEastAsia" w:eastAsiaTheme="minorEastAsia"/>
          <w:b/>
          <w:color w:val="auto"/>
          <w:sz w:val="24"/>
        </w:rPr>
      </w:pPr>
      <w:bookmarkStart w:id="37" w:name="_Toc351203485"/>
      <w:r>
        <w:rPr>
          <w:rFonts w:hint="eastAsia" w:asciiTheme="minorEastAsia" w:hAnsiTheme="minorEastAsia" w:eastAsiaTheme="minorEastAsia"/>
          <w:b/>
          <w:color w:val="auto"/>
          <w:sz w:val="24"/>
        </w:rPr>
        <w:t>五、</w:t>
      </w:r>
      <w:bookmarkEnd w:id="37"/>
      <w:r>
        <w:rPr>
          <w:rFonts w:hint="eastAsia" w:asciiTheme="minorEastAsia" w:hAnsiTheme="minorEastAsia" w:eastAsiaTheme="minorEastAsia"/>
          <w:b/>
          <w:color w:val="auto"/>
          <w:sz w:val="24"/>
        </w:rPr>
        <w:t>项目经理</w:t>
      </w:r>
    </w:p>
    <w:p w14:paraId="67D9DF5F">
      <w:pPr>
        <w:spacing w:line="420" w:lineRule="exact"/>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rPr>
        <w:t>承包人项目经理：</w:t>
      </w:r>
      <w:r>
        <w:rPr>
          <w:rFonts w:hint="eastAsia"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w:t>
      </w:r>
    </w:p>
    <w:p w14:paraId="06ABB07A">
      <w:pPr>
        <w:spacing w:line="420" w:lineRule="exact"/>
        <w:ind w:firstLine="482" w:firstLineChars="200"/>
        <w:rPr>
          <w:rFonts w:asciiTheme="minorEastAsia" w:hAnsiTheme="minorEastAsia" w:eastAsiaTheme="minorEastAsia"/>
          <w:b/>
          <w:color w:val="auto"/>
          <w:sz w:val="24"/>
        </w:rPr>
      </w:pPr>
      <w:bookmarkStart w:id="38" w:name="_Toc351203486"/>
      <w:r>
        <w:rPr>
          <w:rFonts w:hint="eastAsia" w:asciiTheme="minorEastAsia" w:hAnsiTheme="minorEastAsia" w:eastAsiaTheme="minorEastAsia"/>
          <w:b/>
          <w:color w:val="auto"/>
          <w:sz w:val="24"/>
        </w:rPr>
        <w:t>六、合同文件构成</w:t>
      </w:r>
      <w:bookmarkEnd w:id="38"/>
    </w:p>
    <w:p w14:paraId="6462BE25">
      <w:pPr>
        <w:spacing w:line="420" w:lineRule="exact"/>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rPr>
        <w:t>本协议书与下列文件一起构成合同文件：</w:t>
      </w:r>
    </w:p>
    <w:p w14:paraId="710E53EB">
      <w:pPr>
        <w:autoSpaceDE w:val="0"/>
        <w:autoSpaceDN w:val="0"/>
        <w:adjustRightInd w:val="0"/>
        <w:spacing w:line="420" w:lineRule="exact"/>
        <w:ind w:firstLine="480" w:firstLineChars="200"/>
        <w:jc w:val="left"/>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w:t>
      </w:r>
      <w:r>
        <w:rPr>
          <w:rFonts w:asciiTheme="minorEastAsia" w:hAnsiTheme="minorEastAsia" w:eastAsiaTheme="minorEastAsia"/>
          <w:bCs/>
          <w:color w:val="auto"/>
          <w:sz w:val="24"/>
        </w:rPr>
        <w:t>1</w:t>
      </w:r>
      <w:r>
        <w:rPr>
          <w:rFonts w:hint="eastAsia" w:asciiTheme="minorEastAsia" w:hAnsiTheme="minorEastAsia" w:eastAsiaTheme="minorEastAsia"/>
          <w:bCs/>
          <w:color w:val="auto"/>
          <w:sz w:val="24"/>
        </w:rPr>
        <w:t>）本合同协议书及承诺书；</w:t>
      </w:r>
    </w:p>
    <w:p w14:paraId="36CD357E">
      <w:pPr>
        <w:autoSpaceDE w:val="0"/>
        <w:autoSpaceDN w:val="0"/>
        <w:adjustRightInd w:val="0"/>
        <w:spacing w:line="420" w:lineRule="exact"/>
        <w:ind w:firstLine="480" w:firstLineChars="200"/>
        <w:jc w:val="left"/>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w:t>
      </w:r>
      <w:r>
        <w:rPr>
          <w:rFonts w:asciiTheme="minorEastAsia" w:hAnsiTheme="minorEastAsia" w:eastAsiaTheme="minorEastAsia"/>
          <w:bCs/>
          <w:color w:val="auto"/>
          <w:sz w:val="24"/>
        </w:rPr>
        <w:t>2</w:t>
      </w:r>
      <w:r>
        <w:rPr>
          <w:rFonts w:hint="eastAsia" w:asciiTheme="minorEastAsia" w:hAnsiTheme="minorEastAsia" w:eastAsiaTheme="minorEastAsia"/>
          <w:bCs/>
          <w:color w:val="auto"/>
          <w:sz w:val="24"/>
        </w:rPr>
        <w:t>）中标通知书；</w:t>
      </w:r>
    </w:p>
    <w:p w14:paraId="7DFECF72">
      <w:pPr>
        <w:autoSpaceDE w:val="0"/>
        <w:autoSpaceDN w:val="0"/>
        <w:adjustRightInd w:val="0"/>
        <w:spacing w:line="420" w:lineRule="exact"/>
        <w:ind w:firstLine="480" w:firstLineChars="200"/>
        <w:jc w:val="left"/>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w:t>
      </w:r>
      <w:r>
        <w:rPr>
          <w:rFonts w:asciiTheme="minorEastAsia" w:hAnsiTheme="minorEastAsia" w:eastAsiaTheme="minorEastAsia"/>
          <w:bCs/>
          <w:color w:val="auto"/>
          <w:sz w:val="24"/>
        </w:rPr>
        <w:t>3</w:t>
      </w:r>
      <w:r>
        <w:rPr>
          <w:rFonts w:hint="eastAsia" w:asciiTheme="minorEastAsia" w:hAnsiTheme="minorEastAsia" w:eastAsiaTheme="minorEastAsia"/>
          <w:bCs/>
          <w:color w:val="auto"/>
          <w:sz w:val="24"/>
        </w:rPr>
        <w:t>）招标文件及其附件；</w:t>
      </w:r>
    </w:p>
    <w:p w14:paraId="2854D8AE">
      <w:pPr>
        <w:autoSpaceDE w:val="0"/>
        <w:autoSpaceDN w:val="0"/>
        <w:adjustRightInd w:val="0"/>
        <w:spacing w:line="420" w:lineRule="exact"/>
        <w:ind w:firstLine="480" w:firstLineChars="200"/>
        <w:jc w:val="left"/>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w:t>
      </w:r>
      <w:r>
        <w:rPr>
          <w:rFonts w:asciiTheme="minorEastAsia" w:hAnsiTheme="minorEastAsia" w:eastAsiaTheme="minorEastAsia"/>
          <w:bCs/>
          <w:color w:val="auto"/>
          <w:sz w:val="24"/>
        </w:rPr>
        <w:t>4</w:t>
      </w:r>
      <w:r>
        <w:rPr>
          <w:rFonts w:hint="eastAsia" w:asciiTheme="minorEastAsia" w:hAnsiTheme="minorEastAsia" w:eastAsiaTheme="minorEastAsia"/>
          <w:bCs/>
          <w:color w:val="auto"/>
          <w:sz w:val="24"/>
        </w:rPr>
        <w:t>）本合同专用条款；</w:t>
      </w:r>
    </w:p>
    <w:p w14:paraId="21A528AB">
      <w:pPr>
        <w:autoSpaceDE w:val="0"/>
        <w:autoSpaceDN w:val="0"/>
        <w:adjustRightInd w:val="0"/>
        <w:spacing w:line="420" w:lineRule="exact"/>
        <w:ind w:firstLine="480" w:firstLineChars="200"/>
        <w:jc w:val="left"/>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w:t>
      </w:r>
      <w:r>
        <w:rPr>
          <w:rFonts w:asciiTheme="minorEastAsia" w:hAnsiTheme="minorEastAsia" w:eastAsiaTheme="minorEastAsia"/>
          <w:bCs/>
          <w:color w:val="auto"/>
          <w:sz w:val="24"/>
        </w:rPr>
        <w:t>5</w:t>
      </w:r>
      <w:r>
        <w:rPr>
          <w:rFonts w:hint="eastAsia" w:asciiTheme="minorEastAsia" w:hAnsiTheme="minorEastAsia" w:eastAsiaTheme="minorEastAsia"/>
          <w:bCs/>
          <w:color w:val="auto"/>
          <w:sz w:val="24"/>
        </w:rPr>
        <w:t>）本合同通用条款；</w:t>
      </w:r>
    </w:p>
    <w:p w14:paraId="51F89F21">
      <w:pPr>
        <w:autoSpaceDE w:val="0"/>
        <w:autoSpaceDN w:val="0"/>
        <w:adjustRightInd w:val="0"/>
        <w:spacing w:line="420" w:lineRule="exact"/>
        <w:ind w:firstLine="480" w:firstLineChars="200"/>
        <w:jc w:val="left"/>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w:t>
      </w:r>
      <w:r>
        <w:rPr>
          <w:rFonts w:asciiTheme="minorEastAsia" w:hAnsiTheme="minorEastAsia" w:eastAsiaTheme="minorEastAsia"/>
          <w:bCs/>
          <w:color w:val="auto"/>
          <w:sz w:val="24"/>
        </w:rPr>
        <w:t>6</w:t>
      </w:r>
      <w:r>
        <w:rPr>
          <w:rFonts w:hint="eastAsia" w:asciiTheme="minorEastAsia" w:hAnsiTheme="minorEastAsia" w:eastAsiaTheme="minorEastAsia"/>
          <w:bCs/>
          <w:color w:val="auto"/>
          <w:sz w:val="24"/>
        </w:rPr>
        <w:t>）投标书及其附件；</w:t>
      </w:r>
    </w:p>
    <w:p w14:paraId="0E39FFC9">
      <w:pPr>
        <w:autoSpaceDE w:val="0"/>
        <w:autoSpaceDN w:val="0"/>
        <w:adjustRightInd w:val="0"/>
        <w:spacing w:line="420" w:lineRule="exact"/>
        <w:ind w:firstLine="480" w:firstLineChars="200"/>
        <w:jc w:val="left"/>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w:t>
      </w:r>
      <w:r>
        <w:rPr>
          <w:rFonts w:asciiTheme="minorEastAsia" w:hAnsiTheme="minorEastAsia" w:eastAsiaTheme="minorEastAsia"/>
          <w:bCs/>
          <w:color w:val="auto"/>
          <w:sz w:val="24"/>
        </w:rPr>
        <w:t>7</w:t>
      </w:r>
      <w:r>
        <w:rPr>
          <w:rFonts w:hint="eastAsia" w:asciiTheme="minorEastAsia" w:hAnsiTheme="minorEastAsia" w:eastAsiaTheme="minorEastAsia"/>
          <w:bCs/>
          <w:color w:val="auto"/>
          <w:sz w:val="24"/>
        </w:rPr>
        <w:t>）标准、规范及有关技术资料；</w:t>
      </w:r>
    </w:p>
    <w:p w14:paraId="6F0F7F23">
      <w:pPr>
        <w:autoSpaceDE w:val="0"/>
        <w:autoSpaceDN w:val="0"/>
        <w:adjustRightInd w:val="0"/>
        <w:spacing w:line="420" w:lineRule="exact"/>
        <w:ind w:firstLine="480" w:firstLineChars="200"/>
        <w:jc w:val="left"/>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（8）图纸；</w:t>
      </w:r>
    </w:p>
    <w:p w14:paraId="319A0E3B">
      <w:pPr>
        <w:autoSpaceDE w:val="0"/>
        <w:autoSpaceDN w:val="0"/>
        <w:adjustRightInd w:val="0"/>
        <w:spacing w:line="420" w:lineRule="exact"/>
        <w:ind w:firstLine="480" w:firstLineChars="200"/>
        <w:jc w:val="left"/>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（9）工程报价单或预算书。</w:t>
      </w:r>
    </w:p>
    <w:p w14:paraId="6F847910">
      <w:pPr>
        <w:spacing w:line="420" w:lineRule="exact"/>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rPr>
        <w:t>在合同订立及履行过程中形成的与合同有关的文件均构成合同文件组成部分。</w:t>
      </w:r>
    </w:p>
    <w:p w14:paraId="59F856E3">
      <w:pPr>
        <w:spacing w:line="420" w:lineRule="exact"/>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rPr>
        <w:t>上述各项合同文件包括合同当事人就该项合同文件所作出的补充和修改，属于同一类内容的文件，应以最新签署的为准。专用合同条款及其附件须经合同当事人签字或盖章。</w:t>
      </w:r>
    </w:p>
    <w:p w14:paraId="439532F4">
      <w:pPr>
        <w:spacing w:line="420" w:lineRule="exact"/>
        <w:ind w:firstLine="482" w:firstLineChars="200"/>
        <w:rPr>
          <w:rFonts w:asciiTheme="minorEastAsia" w:hAnsiTheme="minorEastAsia" w:eastAsiaTheme="minorEastAsia"/>
          <w:b/>
          <w:color w:val="auto"/>
          <w:sz w:val="24"/>
        </w:rPr>
      </w:pPr>
      <w:bookmarkStart w:id="39" w:name="_Toc351203487"/>
      <w:r>
        <w:rPr>
          <w:rFonts w:hint="eastAsia" w:asciiTheme="minorEastAsia" w:hAnsiTheme="minorEastAsia" w:eastAsiaTheme="minorEastAsia"/>
          <w:b/>
          <w:color w:val="auto"/>
          <w:sz w:val="24"/>
        </w:rPr>
        <w:t>七、承诺</w:t>
      </w:r>
      <w:bookmarkEnd w:id="39"/>
    </w:p>
    <w:p w14:paraId="121ABD0D">
      <w:pPr>
        <w:spacing w:line="420" w:lineRule="exact"/>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rPr>
        <w:t>1.发包人承诺按照法律规定履行项目审批手续、筹集工程建设资金并按照合同约定的期限和方式支付合同价款。</w:t>
      </w:r>
    </w:p>
    <w:p w14:paraId="4A1B5009">
      <w:pPr>
        <w:spacing w:line="420" w:lineRule="exact"/>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rPr>
        <w:t>2.承包人承诺按照法律规定及合同约定组织完成工程施工，确保工程质量和安全，不进行转包及违法分包，并在缺陷责任期及保修期内承担相应的工程维修责任。</w:t>
      </w:r>
    </w:p>
    <w:p w14:paraId="7F4E89D0">
      <w:pPr>
        <w:spacing w:line="420" w:lineRule="exact"/>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rPr>
        <w:t>3.发包人和承包人通过招投标形式签订合同的，双方理解并承诺不再就同一工程另行签订与合同实质性内容相背离的协议。</w:t>
      </w:r>
    </w:p>
    <w:p w14:paraId="00B4B486">
      <w:pPr>
        <w:spacing w:line="420" w:lineRule="exact"/>
        <w:ind w:firstLine="482" w:firstLineChars="200"/>
        <w:rPr>
          <w:rFonts w:asciiTheme="minorEastAsia" w:hAnsiTheme="minorEastAsia" w:eastAsiaTheme="minorEastAsia"/>
          <w:b/>
          <w:color w:val="auto"/>
          <w:sz w:val="24"/>
        </w:rPr>
      </w:pPr>
      <w:bookmarkStart w:id="40" w:name="_Toc351203488"/>
      <w:r>
        <w:rPr>
          <w:rFonts w:hint="eastAsia" w:asciiTheme="minorEastAsia" w:hAnsiTheme="minorEastAsia" w:eastAsiaTheme="minorEastAsia"/>
          <w:b/>
          <w:color w:val="auto"/>
          <w:sz w:val="24"/>
        </w:rPr>
        <w:t>八、词语含义</w:t>
      </w:r>
      <w:bookmarkEnd w:id="40"/>
    </w:p>
    <w:p w14:paraId="0D2F8973">
      <w:pPr>
        <w:spacing w:line="420" w:lineRule="exact"/>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rPr>
        <w:t>本协议书中词语含义与第二部分通用合同条款中赋予的含义相同。</w:t>
      </w:r>
    </w:p>
    <w:p w14:paraId="4D84CBC3">
      <w:pPr>
        <w:spacing w:line="420" w:lineRule="exact"/>
        <w:ind w:firstLine="480" w:firstLineChars="200"/>
        <w:rPr>
          <w:rFonts w:asciiTheme="minorEastAsia" w:hAnsiTheme="minorEastAsia" w:eastAsiaTheme="minorEastAsia"/>
          <w:color w:val="auto"/>
          <w:sz w:val="24"/>
        </w:rPr>
      </w:pPr>
      <w:bookmarkStart w:id="41" w:name="_Toc351203489"/>
      <w:r>
        <w:rPr>
          <w:rFonts w:hint="eastAsia" w:asciiTheme="minorEastAsia" w:hAnsiTheme="minorEastAsia" w:eastAsiaTheme="minorEastAsia"/>
          <w:color w:val="auto"/>
          <w:sz w:val="24"/>
        </w:rPr>
        <w:t>九、签订时间</w:t>
      </w:r>
      <w:bookmarkEnd w:id="41"/>
    </w:p>
    <w:p w14:paraId="069D8F01">
      <w:pPr>
        <w:spacing w:line="420" w:lineRule="exact"/>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rPr>
        <w:t>本合同于</w:t>
      </w:r>
      <w:r>
        <w:rPr>
          <w:rFonts w:hint="eastAsia"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年</w:t>
      </w:r>
      <w:r>
        <w:rPr>
          <w:rFonts w:hint="eastAsia"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月</w:t>
      </w:r>
      <w:r>
        <w:rPr>
          <w:rFonts w:hint="eastAsia"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日签订。</w:t>
      </w:r>
    </w:p>
    <w:p w14:paraId="760DF0BC">
      <w:pPr>
        <w:spacing w:line="420" w:lineRule="exact"/>
        <w:ind w:firstLine="480" w:firstLineChars="200"/>
        <w:rPr>
          <w:rFonts w:asciiTheme="minorEastAsia" w:hAnsiTheme="minorEastAsia" w:eastAsiaTheme="minorEastAsia"/>
          <w:color w:val="auto"/>
          <w:sz w:val="24"/>
        </w:rPr>
      </w:pPr>
      <w:bookmarkStart w:id="42" w:name="_Toc351203490"/>
      <w:r>
        <w:rPr>
          <w:rFonts w:hint="eastAsia" w:asciiTheme="minorEastAsia" w:hAnsiTheme="minorEastAsia" w:eastAsiaTheme="minorEastAsia"/>
          <w:color w:val="auto"/>
          <w:sz w:val="24"/>
        </w:rPr>
        <w:t>十、签订地点</w:t>
      </w:r>
      <w:bookmarkEnd w:id="42"/>
    </w:p>
    <w:p w14:paraId="64CF9DD2">
      <w:pPr>
        <w:spacing w:line="420" w:lineRule="exact"/>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rPr>
        <w:t>本合同在</w:t>
      </w:r>
      <w:r>
        <w:rPr>
          <w:rFonts w:hint="eastAsia"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签订。</w:t>
      </w:r>
    </w:p>
    <w:p w14:paraId="42ECAE70">
      <w:pPr>
        <w:spacing w:line="420" w:lineRule="exact"/>
        <w:ind w:firstLine="480" w:firstLineChars="200"/>
        <w:rPr>
          <w:rFonts w:asciiTheme="minorEastAsia" w:hAnsiTheme="minorEastAsia" w:eastAsiaTheme="minorEastAsia"/>
          <w:color w:val="auto"/>
          <w:sz w:val="24"/>
        </w:rPr>
      </w:pPr>
      <w:bookmarkStart w:id="43" w:name="_Toc351203491"/>
      <w:r>
        <w:rPr>
          <w:rFonts w:hint="eastAsia" w:asciiTheme="minorEastAsia" w:hAnsiTheme="minorEastAsia" w:eastAsiaTheme="minorEastAsia"/>
          <w:color w:val="auto"/>
          <w:sz w:val="24"/>
        </w:rPr>
        <w:t>十一、补充协议</w:t>
      </w:r>
      <w:bookmarkEnd w:id="43"/>
    </w:p>
    <w:p w14:paraId="4CDD0043">
      <w:pPr>
        <w:spacing w:line="420" w:lineRule="exact"/>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rPr>
        <w:t>合同未尽事宜，合同当事人另行签订补充协议，补充协议是合同的组成部分。</w:t>
      </w:r>
    </w:p>
    <w:p w14:paraId="43458BA8">
      <w:pPr>
        <w:spacing w:line="420" w:lineRule="exact"/>
        <w:ind w:firstLine="480" w:firstLineChars="200"/>
        <w:rPr>
          <w:rFonts w:asciiTheme="minorEastAsia" w:hAnsiTheme="minorEastAsia" w:eastAsiaTheme="minorEastAsia"/>
          <w:color w:val="auto"/>
          <w:sz w:val="24"/>
        </w:rPr>
      </w:pPr>
      <w:bookmarkStart w:id="44" w:name="_Toc351203492"/>
      <w:r>
        <w:rPr>
          <w:rFonts w:hint="eastAsia" w:asciiTheme="minorEastAsia" w:hAnsiTheme="minorEastAsia" w:eastAsiaTheme="minorEastAsia"/>
          <w:color w:val="auto"/>
          <w:sz w:val="24"/>
        </w:rPr>
        <w:t>十二、合同生效</w:t>
      </w:r>
      <w:bookmarkEnd w:id="44"/>
    </w:p>
    <w:p w14:paraId="5AAEEA5B">
      <w:pPr>
        <w:spacing w:line="420" w:lineRule="exact"/>
        <w:ind w:firstLine="480" w:firstLineChars="200"/>
        <w:jc w:val="left"/>
        <w:rPr>
          <w:rFonts w:asciiTheme="minorEastAsia" w:hAnsiTheme="minorEastAsia" w:eastAsiaTheme="minorEastAsia"/>
          <w:color w:val="auto"/>
          <w:sz w:val="24"/>
        </w:rPr>
      </w:pPr>
      <w:r>
        <w:rPr>
          <w:rFonts w:hint="eastAsia" w:asciiTheme="minorEastAsia" w:hAnsiTheme="minorEastAsia" w:eastAsiaTheme="minorEastAsia"/>
          <w:color w:val="auto"/>
          <w:sz w:val="24"/>
        </w:rPr>
        <w:t>本合同自</w:t>
      </w:r>
      <w:r>
        <w:rPr>
          <w:rFonts w:hint="eastAsia" w:asciiTheme="minorEastAsia" w:hAnsiTheme="minorEastAsia" w:eastAsiaTheme="minorEastAsia"/>
          <w:color w:val="auto"/>
          <w:sz w:val="24"/>
          <w:u w:val="single"/>
        </w:rPr>
        <w:t xml:space="preserve"> 承包人提交履约保证金且双方签字盖章 </w:t>
      </w:r>
      <w:r>
        <w:rPr>
          <w:rFonts w:hint="eastAsia" w:asciiTheme="minorEastAsia" w:hAnsiTheme="minorEastAsia" w:eastAsiaTheme="minorEastAsia"/>
          <w:color w:val="auto"/>
          <w:sz w:val="24"/>
        </w:rPr>
        <w:t>生效。</w:t>
      </w:r>
    </w:p>
    <w:p w14:paraId="00C4658C">
      <w:pPr>
        <w:spacing w:line="420" w:lineRule="exact"/>
        <w:ind w:firstLine="480" w:firstLineChars="200"/>
        <w:rPr>
          <w:rFonts w:asciiTheme="minorEastAsia" w:hAnsiTheme="minorEastAsia" w:eastAsiaTheme="minorEastAsia"/>
          <w:color w:val="auto"/>
          <w:sz w:val="24"/>
        </w:rPr>
      </w:pPr>
      <w:bookmarkStart w:id="45" w:name="_Toc351203493"/>
      <w:r>
        <w:rPr>
          <w:rFonts w:hint="eastAsia" w:asciiTheme="minorEastAsia" w:hAnsiTheme="minorEastAsia" w:eastAsiaTheme="minorEastAsia"/>
          <w:color w:val="auto"/>
          <w:sz w:val="24"/>
        </w:rPr>
        <w:t>十三、合同份数</w:t>
      </w:r>
      <w:bookmarkEnd w:id="45"/>
    </w:p>
    <w:p w14:paraId="1A575A4A">
      <w:pPr>
        <w:spacing w:line="420" w:lineRule="exact"/>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rPr>
        <w:t>本合同一式</w:t>
      </w:r>
      <w:r>
        <w:rPr>
          <w:rFonts w:hint="eastAsia"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u w:val="single"/>
          <w:lang w:val="en-US" w:eastAsia="zh-CN"/>
        </w:rPr>
        <w:t xml:space="preserve"> </w:t>
      </w:r>
      <w:r>
        <w:rPr>
          <w:rFonts w:hint="eastAsia"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份，均具有同等法律效力，发包人执</w:t>
      </w:r>
      <w:r>
        <w:rPr>
          <w:rFonts w:hint="eastAsia"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u w:val="single"/>
          <w:lang w:val="en-US" w:eastAsia="zh-CN"/>
        </w:rPr>
        <w:t xml:space="preserve"> </w:t>
      </w:r>
      <w:r>
        <w:rPr>
          <w:rFonts w:hint="eastAsia"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份，承包人执</w:t>
      </w:r>
      <w:r>
        <w:rPr>
          <w:rFonts w:hint="eastAsia"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u w:val="single"/>
          <w:lang w:val="en-US" w:eastAsia="zh-CN"/>
        </w:rPr>
        <w:t xml:space="preserve"> </w:t>
      </w:r>
      <w:r>
        <w:rPr>
          <w:rFonts w:hint="eastAsia"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份。</w:t>
      </w:r>
    </w:p>
    <w:p w14:paraId="4B29ACEE">
      <w:pPr>
        <w:spacing w:line="440" w:lineRule="exact"/>
        <w:rPr>
          <w:rFonts w:asciiTheme="minorEastAsia" w:hAnsiTheme="minorEastAsia" w:eastAsiaTheme="minorEastAsia"/>
          <w:bCs/>
          <w:color w:val="auto"/>
          <w:sz w:val="24"/>
        </w:rPr>
      </w:pPr>
    </w:p>
    <w:p w14:paraId="0D29AF5F">
      <w:pPr>
        <w:spacing w:line="440" w:lineRule="exact"/>
        <w:rPr>
          <w:rFonts w:asciiTheme="minorEastAsia" w:hAnsiTheme="minorEastAsia" w:eastAsiaTheme="minorEastAsia"/>
          <w:bCs/>
          <w:color w:val="auto"/>
          <w:sz w:val="24"/>
        </w:rPr>
      </w:pPr>
    </w:p>
    <w:p w14:paraId="6FC2EFE6">
      <w:pPr>
        <w:spacing w:line="440" w:lineRule="exact"/>
        <w:ind w:firstLine="720" w:firstLineChars="300"/>
        <w:rPr>
          <w:rFonts w:asciiTheme="minorEastAsia" w:hAnsiTheme="minorEastAsia" w:eastAsiaTheme="minorEastAsia"/>
          <w:color w:val="auto"/>
          <w:sz w:val="24"/>
        </w:rPr>
      </w:pPr>
      <w:r>
        <w:rPr>
          <w:rFonts w:hint="eastAsia" w:asciiTheme="minorEastAsia" w:hAnsiTheme="minorEastAsia" w:eastAsiaTheme="minorEastAsia"/>
          <w:color w:val="auto"/>
          <w:sz w:val="24"/>
        </w:rPr>
        <w:t>发包人：  (公章)             承包人：  (公章)</w:t>
      </w:r>
    </w:p>
    <w:p w14:paraId="605C859F">
      <w:pPr>
        <w:spacing w:line="440" w:lineRule="exact"/>
        <w:rPr>
          <w:rFonts w:asciiTheme="minorEastAsia" w:hAnsiTheme="minorEastAsia" w:eastAsiaTheme="minorEastAsia"/>
          <w:color w:val="auto"/>
          <w:sz w:val="24"/>
          <w:u w:val="single"/>
        </w:rPr>
      </w:pPr>
    </w:p>
    <w:p w14:paraId="6419DF8E">
      <w:pPr>
        <w:spacing w:line="440" w:lineRule="exact"/>
        <w:ind w:firstLine="720" w:firstLineChars="300"/>
        <w:rPr>
          <w:rFonts w:asciiTheme="minorEastAsia" w:hAnsiTheme="minorEastAsia" w:eastAsiaTheme="minorEastAsia"/>
          <w:color w:val="auto"/>
          <w:sz w:val="24"/>
        </w:rPr>
      </w:pPr>
      <w:r>
        <w:rPr>
          <w:rFonts w:hint="eastAsia" w:asciiTheme="minorEastAsia" w:hAnsiTheme="minorEastAsia" w:eastAsiaTheme="minorEastAsia"/>
          <w:color w:val="auto"/>
          <w:sz w:val="24"/>
        </w:rPr>
        <w:t>法定代表人或其委托代理人：  法定代表人或其委托代理人：</w:t>
      </w:r>
    </w:p>
    <w:p w14:paraId="7006F404">
      <w:pPr>
        <w:spacing w:line="440" w:lineRule="exact"/>
        <w:ind w:firstLine="3120" w:firstLineChars="1300"/>
        <w:rPr>
          <w:rFonts w:asciiTheme="minorEastAsia" w:hAnsiTheme="minorEastAsia" w:eastAsiaTheme="minorEastAsia"/>
          <w:color w:val="auto"/>
          <w:sz w:val="24"/>
        </w:rPr>
      </w:pPr>
      <w:r>
        <w:rPr>
          <w:rFonts w:hint="eastAsia" w:asciiTheme="minorEastAsia" w:hAnsiTheme="minorEastAsia" w:eastAsiaTheme="minorEastAsia"/>
          <w:color w:val="auto"/>
          <w:sz w:val="24"/>
        </w:rPr>
        <w:t>（签字）                    （签字）</w:t>
      </w:r>
    </w:p>
    <w:p w14:paraId="0CB57B4E">
      <w:pPr>
        <w:spacing w:line="440" w:lineRule="exact"/>
        <w:rPr>
          <w:rFonts w:asciiTheme="minorEastAsia" w:hAnsiTheme="minorEastAsia" w:eastAsiaTheme="minorEastAsia"/>
          <w:color w:val="auto"/>
          <w:sz w:val="24"/>
          <w:u w:val="single"/>
        </w:rPr>
      </w:pPr>
    </w:p>
    <w:p w14:paraId="4A400FE9">
      <w:pPr>
        <w:tabs>
          <w:tab w:val="left" w:pos="4410"/>
        </w:tabs>
        <w:spacing w:line="440" w:lineRule="exact"/>
        <w:ind w:firstLine="720" w:firstLineChars="300"/>
        <w:rPr>
          <w:rFonts w:asciiTheme="minorEastAsia" w:hAnsiTheme="minorEastAsia" w:eastAsiaTheme="minorEastAsia"/>
          <w:color w:val="auto"/>
          <w:sz w:val="24"/>
        </w:rPr>
      </w:pPr>
      <w:r>
        <w:rPr>
          <w:rFonts w:hint="eastAsia" w:asciiTheme="minorEastAsia" w:hAnsiTheme="minorEastAsia" w:eastAsiaTheme="minorEastAsia"/>
          <w:color w:val="auto"/>
          <w:sz w:val="24"/>
        </w:rPr>
        <w:t>组织机构代码：              组织机构代码：</w:t>
      </w:r>
    </w:p>
    <w:p w14:paraId="5F9D5E15">
      <w:pPr>
        <w:spacing w:line="440" w:lineRule="exact"/>
        <w:ind w:firstLine="720" w:firstLineChars="300"/>
        <w:rPr>
          <w:rFonts w:asciiTheme="minorEastAsia" w:hAnsiTheme="minorEastAsia" w:eastAsiaTheme="minorEastAsia"/>
          <w:color w:val="auto"/>
          <w:sz w:val="24"/>
        </w:rPr>
      </w:pPr>
      <w:r>
        <w:rPr>
          <w:rFonts w:hint="eastAsia" w:asciiTheme="minorEastAsia" w:hAnsiTheme="minorEastAsia" w:eastAsiaTheme="minorEastAsia"/>
          <w:color w:val="auto"/>
          <w:sz w:val="24"/>
        </w:rPr>
        <w:t>地  址：                    地  址：</w:t>
      </w:r>
    </w:p>
    <w:p w14:paraId="4C43EC82">
      <w:pPr>
        <w:spacing w:line="440" w:lineRule="exact"/>
        <w:ind w:firstLine="720" w:firstLineChars="300"/>
        <w:rPr>
          <w:rFonts w:asciiTheme="minorEastAsia" w:hAnsiTheme="minorEastAsia" w:eastAsiaTheme="minorEastAsia"/>
          <w:color w:val="auto"/>
          <w:sz w:val="24"/>
        </w:rPr>
      </w:pPr>
      <w:r>
        <w:rPr>
          <w:rFonts w:hint="eastAsia" w:asciiTheme="minorEastAsia" w:hAnsiTheme="minorEastAsia" w:eastAsiaTheme="minorEastAsia"/>
          <w:color w:val="auto"/>
          <w:sz w:val="24"/>
        </w:rPr>
        <w:t>邮政编码：                  邮政编码：</w:t>
      </w:r>
    </w:p>
    <w:p w14:paraId="54B1332A">
      <w:pPr>
        <w:spacing w:line="440" w:lineRule="exact"/>
        <w:ind w:firstLine="720" w:firstLineChars="300"/>
        <w:rPr>
          <w:rFonts w:asciiTheme="minorEastAsia" w:hAnsiTheme="minorEastAsia" w:eastAsiaTheme="minorEastAsia"/>
          <w:color w:val="auto"/>
          <w:sz w:val="24"/>
        </w:rPr>
      </w:pPr>
      <w:r>
        <w:rPr>
          <w:rFonts w:hint="eastAsia" w:asciiTheme="minorEastAsia" w:hAnsiTheme="minorEastAsia" w:eastAsiaTheme="minorEastAsia"/>
          <w:color w:val="auto"/>
          <w:sz w:val="24"/>
        </w:rPr>
        <w:t>法定代表人：                法定代表人：</w:t>
      </w:r>
    </w:p>
    <w:p w14:paraId="38587E13">
      <w:pPr>
        <w:spacing w:line="440" w:lineRule="exact"/>
        <w:ind w:firstLine="720" w:firstLineChars="300"/>
        <w:rPr>
          <w:rFonts w:asciiTheme="minorEastAsia" w:hAnsiTheme="minorEastAsia" w:eastAsiaTheme="minorEastAsia"/>
          <w:color w:val="auto"/>
          <w:sz w:val="24"/>
        </w:rPr>
      </w:pPr>
      <w:r>
        <w:rPr>
          <w:rFonts w:hint="eastAsia" w:asciiTheme="minorEastAsia" w:hAnsiTheme="minorEastAsia" w:eastAsiaTheme="minorEastAsia"/>
          <w:color w:val="auto"/>
          <w:sz w:val="24"/>
        </w:rPr>
        <w:t>委托代理人：                委托代理人：</w:t>
      </w:r>
    </w:p>
    <w:p w14:paraId="209A425B">
      <w:pPr>
        <w:spacing w:line="440" w:lineRule="exact"/>
        <w:ind w:firstLine="720" w:firstLineChars="300"/>
        <w:rPr>
          <w:rFonts w:asciiTheme="minorEastAsia" w:hAnsiTheme="minorEastAsia" w:eastAsiaTheme="minorEastAsia"/>
          <w:color w:val="auto"/>
          <w:sz w:val="24"/>
        </w:rPr>
      </w:pPr>
      <w:r>
        <w:rPr>
          <w:rFonts w:hint="eastAsia" w:asciiTheme="minorEastAsia" w:hAnsiTheme="minorEastAsia" w:eastAsiaTheme="minorEastAsia"/>
          <w:color w:val="auto"/>
          <w:sz w:val="24"/>
        </w:rPr>
        <w:t>电  话：                    电  话：</w:t>
      </w:r>
    </w:p>
    <w:p w14:paraId="77FD3BF4">
      <w:pPr>
        <w:spacing w:line="440" w:lineRule="exact"/>
        <w:ind w:firstLine="720" w:firstLineChars="300"/>
        <w:rPr>
          <w:rFonts w:asciiTheme="minorEastAsia" w:hAnsiTheme="minorEastAsia" w:eastAsiaTheme="minorEastAsia"/>
          <w:color w:val="auto"/>
          <w:sz w:val="24"/>
        </w:rPr>
      </w:pPr>
      <w:r>
        <w:rPr>
          <w:rFonts w:hint="eastAsia" w:asciiTheme="minorEastAsia" w:hAnsiTheme="minorEastAsia" w:eastAsiaTheme="minorEastAsia"/>
          <w:color w:val="auto"/>
          <w:sz w:val="24"/>
        </w:rPr>
        <w:t>传  真：                    传  真：</w:t>
      </w:r>
    </w:p>
    <w:p w14:paraId="44D5436A">
      <w:pPr>
        <w:spacing w:line="440" w:lineRule="exact"/>
        <w:ind w:firstLine="720" w:firstLineChars="300"/>
        <w:rPr>
          <w:rFonts w:asciiTheme="minorEastAsia" w:hAnsiTheme="minorEastAsia" w:eastAsiaTheme="minorEastAsia"/>
          <w:color w:val="auto"/>
          <w:sz w:val="24"/>
        </w:rPr>
      </w:pPr>
      <w:r>
        <w:rPr>
          <w:rFonts w:hint="eastAsia" w:asciiTheme="minorEastAsia" w:hAnsiTheme="minorEastAsia" w:eastAsiaTheme="minorEastAsia"/>
          <w:color w:val="auto"/>
          <w:sz w:val="24"/>
        </w:rPr>
        <w:t>电子信箱：                  电子信箱：</w:t>
      </w:r>
    </w:p>
    <w:p w14:paraId="00F0D6C9">
      <w:pPr>
        <w:spacing w:line="440" w:lineRule="exact"/>
        <w:ind w:firstLine="720" w:firstLineChars="300"/>
        <w:rPr>
          <w:rFonts w:asciiTheme="minorEastAsia" w:hAnsiTheme="minorEastAsia" w:eastAsiaTheme="minorEastAsia"/>
          <w:color w:val="auto"/>
          <w:sz w:val="24"/>
        </w:rPr>
      </w:pPr>
      <w:r>
        <w:rPr>
          <w:rFonts w:hint="eastAsia" w:asciiTheme="minorEastAsia" w:hAnsiTheme="minorEastAsia" w:eastAsiaTheme="minorEastAsia"/>
          <w:color w:val="auto"/>
          <w:sz w:val="24"/>
        </w:rPr>
        <w:t>开户银行：                  开户银行：</w:t>
      </w:r>
    </w:p>
    <w:p w14:paraId="1CC795C4">
      <w:pPr>
        <w:spacing w:line="440" w:lineRule="exact"/>
        <w:ind w:firstLine="720" w:firstLineChars="300"/>
        <w:rPr>
          <w:rFonts w:asciiTheme="minorEastAsia" w:hAnsiTheme="minorEastAsia" w:eastAsiaTheme="minorEastAsia"/>
          <w:color w:val="auto"/>
          <w:sz w:val="24"/>
        </w:rPr>
      </w:pPr>
      <w:r>
        <w:rPr>
          <w:rFonts w:hint="eastAsia" w:asciiTheme="minorEastAsia" w:hAnsiTheme="minorEastAsia" w:eastAsiaTheme="minorEastAsia"/>
          <w:color w:val="auto"/>
          <w:sz w:val="24"/>
        </w:rPr>
        <w:t>账  号：                    账  号：</w:t>
      </w:r>
    </w:p>
    <w:p w14:paraId="35436388">
      <w:pPr>
        <w:autoSpaceDE w:val="0"/>
        <w:autoSpaceDN w:val="0"/>
        <w:adjustRightInd w:val="0"/>
        <w:spacing w:line="360" w:lineRule="auto"/>
        <w:rPr>
          <w:rFonts w:ascii="宋体" w:hAnsi="宋体" w:cs="宋体"/>
          <w:color w:val="auto"/>
          <w:kern w:val="0"/>
          <w:szCs w:val="21"/>
          <w:u w:val="single"/>
          <w:lang w:val="zh-CN"/>
        </w:rPr>
      </w:pPr>
    </w:p>
    <w:p w14:paraId="12C2C751">
      <w:pPr>
        <w:autoSpaceDE w:val="0"/>
        <w:autoSpaceDN w:val="0"/>
        <w:adjustRightInd w:val="0"/>
        <w:spacing w:line="360" w:lineRule="auto"/>
        <w:rPr>
          <w:rFonts w:ascii="宋体" w:hAnsi="宋体" w:cs="宋体"/>
          <w:color w:val="auto"/>
          <w:kern w:val="0"/>
          <w:szCs w:val="21"/>
          <w:u w:val="single"/>
          <w:lang w:val="zh-CN"/>
        </w:rPr>
      </w:pPr>
    </w:p>
    <w:p w14:paraId="72433415">
      <w:pPr>
        <w:rPr>
          <w:rFonts w:hint="eastAsia" w:ascii="宋体" w:hAnsi="宋体" w:cs="宋体"/>
          <w:b/>
          <w:bCs/>
          <w:color w:val="auto"/>
          <w:kern w:val="0"/>
          <w:sz w:val="30"/>
          <w:szCs w:val="30"/>
          <w:lang w:val="zh-CN"/>
        </w:rPr>
      </w:pPr>
      <w:bookmarkStart w:id="46" w:name="_Toc378259833"/>
      <w:bookmarkStart w:id="47" w:name="_Toc388540281"/>
      <w:r>
        <w:rPr>
          <w:rFonts w:hint="eastAsia" w:ascii="宋体" w:hAnsi="宋体" w:cs="宋体"/>
          <w:b/>
          <w:bCs/>
          <w:color w:val="auto"/>
          <w:kern w:val="0"/>
          <w:sz w:val="30"/>
          <w:szCs w:val="30"/>
          <w:lang w:val="zh-CN"/>
        </w:rPr>
        <w:br w:type="page"/>
      </w:r>
    </w:p>
    <w:p w14:paraId="7F253B3B">
      <w:pPr>
        <w:keepNext/>
        <w:keepLines/>
        <w:autoSpaceDE w:val="0"/>
        <w:autoSpaceDN w:val="0"/>
        <w:adjustRightInd w:val="0"/>
        <w:spacing w:before="260" w:after="260" w:line="360" w:lineRule="auto"/>
        <w:jc w:val="center"/>
        <w:outlineLvl w:val="1"/>
        <w:rPr>
          <w:rFonts w:ascii="宋体" w:hAnsi="宋体" w:cs="宋体"/>
          <w:b/>
          <w:bCs/>
          <w:color w:val="auto"/>
          <w:kern w:val="0"/>
          <w:sz w:val="30"/>
          <w:szCs w:val="30"/>
          <w:lang w:val="zh-CN"/>
        </w:rPr>
      </w:pPr>
      <w:r>
        <w:rPr>
          <w:rFonts w:hint="eastAsia" w:ascii="宋体" w:hAnsi="宋体" w:cs="宋体"/>
          <w:b/>
          <w:bCs/>
          <w:color w:val="auto"/>
          <w:kern w:val="0"/>
          <w:sz w:val="30"/>
          <w:szCs w:val="30"/>
          <w:lang w:val="zh-CN"/>
        </w:rPr>
        <w:t>第二部分通用合同条款</w:t>
      </w:r>
      <w:bookmarkEnd w:id="46"/>
      <w:bookmarkEnd w:id="47"/>
    </w:p>
    <w:p w14:paraId="4298B113">
      <w:pPr>
        <w:spacing w:line="440" w:lineRule="exact"/>
        <w:ind w:firstLine="720" w:firstLineChars="300"/>
        <w:rPr>
          <w:rFonts w:asciiTheme="minorEastAsia" w:hAnsiTheme="minorEastAsia" w:eastAsiaTheme="minorEastAsia"/>
          <w:color w:val="auto"/>
          <w:sz w:val="24"/>
        </w:rPr>
      </w:pPr>
      <w:bookmarkStart w:id="48" w:name="_Toc388540282"/>
      <w:bookmarkStart w:id="49" w:name="_Toc378259834"/>
      <w:r>
        <w:rPr>
          <w:rFonts w:hint="eastAsia" w:asciiTheme="minorEastAsia" w:hAnsiTheme="minorEastAsia" w:eastAsiaTheme="minorEastAsia"/>
          <w:color w:val="auto"/>
          <w:sz w:val="24"/>
        </w:rPr>
        <w:t>此部分采用中华人民共和国建设部、国家工商行政管理局制定的《建设工程施工合同（示范文本）》（GF-2017-0201）中《第二部分   通用条款》。</w:t>
      </w:r>
    </w:p>
    <w:p w14:paraId="30C16788">
      <w:pPr>
        <w:rPr>
          <w:rFonts w:ascii="宋体" w:hAnsi="宋体" w:cs="宋体"/>
          <w:b/>
          <w:bCs/>
          <w:color w:val="auto"/>
          <w:kern w:val="0"/>
          <w:sz w:val="30"/>
          <w:szCs w:val="30"/>
          <w:lang w:val="zh-CN"/>
        </w:rPr>
      </w:pPr>
      <w:r>
        <w:rPr>
          <w:rFonts w:hint="eastAsia" w:ascii="宋体" w:hAnsi="宋体" w:cs="宋体"/>
          <w:b/>
          <w:bCs/>
          <w:color w:val="auto"/>
          <w:kern w:val="0"/>
          <w:sz w:val="30"/>
          <w:szCs w:val="30"/>
          <w:lang w:val="zh-CN"/>
        </w:rPr>
        <w:br w:type="page"/>
      </w:r>
    </w:p>
    <w:bookmarkEnd w:id="48"/>
    <w:bookmarkEnd w:id="49"/>
    <w:p w14:paraId="229C48BE">
      <w:pPr>
        <w:keepNext/>
        <w:keepLines/>
        <w:adjustRightInd w:val="0"/>
        <w:snapToGrid w:val="0"/>
        <w:jc w:val="center"/>
        <w:outlineLvl w:val="2"/>
        <w:rPr>
          <w:rFonts w:hint="eastAsia" w:ascii="宋体" w:hAnsi="宋体" w:eastAsia="宋体" w:cs="宋体"/>
          <w:b/>
          <w:bCs/>
          <w:color w:val="auto"/>
          <w:sz w:val="24"/>
          <w:szCs w:val="24"/>
        </w:rPr>
      </w:pPr>
      <w:bookmarkStart w:id="50" w:name="_Toc404159961"/>
      <w:r>
        <w:rPr>
          <w:rFonts w:hint="eastAsia" w:ascii="宋体" w:hAnsi="宋体" w:eastAsia="宋体" w:cs="宋体"/>
          <w:b/>
          <w:bCs/>
          <w:color w:val="auto"/>
          <w:sz w:val="24"/>
          <w:szCs w:val="24"/>
        </w:rPr>
        <w:t>第三部分 专用合同条款</w:t>
      </w:r>
    </w:p>
    <w:p w14:paraId="0F9E1C57">
      <w:pPr>
        <w:keepNext/>
        <w:keepLines/>
        <w:adjustRightInd w:val="0"/>
        <w:snapToGrid w:val="0"/>
        <w:spacing w:line="440" w:lineRule="exact"/>
        <w:ind w:firstLine="480" w:firstLineChars="200"/>
        <w:outlineLvl w:val="3"/>
        <w:rPr>
          <w:rFonts w:hint="eastAsia" w:ascii="宋体" w:hAnsi="宋体" w:eastAsia="宋体" w:cs="宋体"/>
          <w:bCs/>
          <w:color w:val="auto"/>
          <w:sz w:val="24"/>
          <w:szCs w:val="24"/>
        </w:rPr>
      </w:pPr>
      <w:bookmarkStart w:id="51" w:name="_Toc351203633"/>
      <w:r>
        <w:rPr>
          <w:rFonts w:hint="eastAsia" w:ascii="宋体" w:hAnsi="宋体" w:eastAsia="宋体" w:cs="宋体"/>
          <w:bCs/>
          <w:color w:val="auto"/>
          <w:sz w:val="24"/>
          <w:szCs w:val="24"/>
        </w:rPr>
        <w:t>1</w:t>
      </w:r>
      <w:bookmarkStart w:id="52" w:name="_Toc296890984"/>
      <w:bookmarkStart w:id="53" w:name="_Toc296503156"/>
      <w:bookmarkStart w:id="54" w:name="_Toc296347155"/>
      <w:bookmarkStart w:id="55" w:name="_Toc292559361"/>
      <w:bookmarkStart w:id="56" w:name="_Toc297048342"/>
      <w:bookmarkStart w:id="57" w:name="_Toc296346657"/>
      <w:bookmarkStart w:id="58" w:name="_Toc296944495"/>
      <w:bookmarkStart w:id="59" w:name="_Toc292559866"/>
      <w:bookmarkStart w:id="60" w:name="_Toc297120456"/>
      <w:bookmarkStart w:id="61" w:name="_Toc296891196"/>
      <w:r>
        <w:rPr>
          <w:rFonts w:hint="eastAsia" w:ascii="宋体" w:hAnsi="宋体" w:eastAsia="宋体" w:cs="宋体"/>
          <w:bCs/>
          <w:color w:val="auto"/>
          <w:sz w:val="24"/>
          <w:szCs w:val="24"/>
        </w:rPr>
        <w:t>. 一般约定</w:t>
      </w:r>
      <w:bookmarkEnd w:id="51"/>
    </w:p>
    <w:bookmarkEnd w:id="52"/>
    <w:bookmarkEnd w:id="53"/>
    <w:bookmarkEnd w:id="54"/>
    <w:bookmarkEnd w:id="55"/>
    <w:bookmarkEnd w:id="56"/>
    <w:bookmarkEnd w:id="57"/>
    <w:bookmarkEnd w:id="58"/>
    <w:bookmarkEnd w:id="59"/>
    <w:bookmarkEnd w:id="60"/>
    <w:bookmarkEnd w:id="61"/>
    <w:p w14:paraId="16446162">
      <w:pPr>
        <w:adjustRightInd w:val="0"/>
        <w:snapToGrid w:val="0"/>
        <w:spacing w:line="44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1.1 词语定义</w:t>
      </w:r>
    </w:p>
    <w:p w14:paraId="36E3BF0C">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1.1.1合同</w:t>
      </w:r>
    </w:p>
    <w:p w14:paraId="601A7A0F">
      <w:pPr>
        <w:spacing w:line="440" w:lineRule="exact"/>
        <w:ind w:firstLine="480" w:firstLineChars="200"/>
        <w:rPr>
          <w:rFonts w:hint="eastAsia" w:ascii="宋体" w:hAnsi="宋体" w:eastAsia="宋体" w:cs="宋体"/>
          <w:b/>
          <w:color w:val="auto"/>
          <w:sz w:val="24"/>
          <w:szCs w:val="24"/>
          <w:u w:val="single"/>
        </w:rPr>
      </w:pPr>
      <w:r>
        <w:rPr>
          <w:rFonts w:hint="eastAsia" w:ascii="宋体" w:hAnsi="宋体" w:eastAsia="宋体" w:cs="宋体"/>
          <w:color w:val="auto"/>
          <w:sz w:val="24"/>
          <w:szCs w:val="24"/>
        </w:rPr>
        <w:t>1.1.1.10其他合同文件包括：</w:t>
      </w:r>
      <w:r>
        <w:rPr>
          <w:rFonts w:hint="eastAsia" w:ascii="宋体" w:hAnsi="宋体" w:eastAsia="宋体" w:cs="宋体"/>
          <w:b/>
          <w:color w:val="auto"/>
          <w:sz w:val="24"/>
          <w:szCs w:val="24"/>
          <w:u w:val="single"/>
        </w:rPr>
        <w:t>（1）发包人与承包人协商备忘、合同补充条件；（2）招标文件有书面答疑等补充修改文件；（3）发包人认可的设计变更；（4）经发包人确认有效的工程签证单 。</w:t>
      </w:r>
    </w:p>
    <w:p w14:paraId="21E3F511">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1.1.2 合同当事人及其他相关方</w:t>
      </w:r>
    </w:p>
    <w:p w14:paraId="29A282F7">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1.1.2.4监理人：</w:t>
      </w:r>
    </w:p>
    <w:p w14:paraId="21369126">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名    称：</w:t>
      </w:r>
      <w:r>
        <w:rPr>
          <w:rFonts w:hint="eastAsia" w:ascii="宋体" w:hAnsi="宋体" w:eastAsia="宋体" w:cs="宋体"/>
          <w:color w:val="auto"/>
          <w:sz w:val="24"/>
          <w:szCs w:val="24"/>
          <w:u w:val="single"/>
        </w:rPr>
        <w:t xml:space="preserve">                  </w:t>
      </w:r>
      <w:r>
        <w:rPr>
          <w:rFonts w:hint="eastAsia" w:ascii="宋体" w:hAnsi="宋体" w:cs="宋体"/>
          <w:color w:val="auto"/>
          <w:sz w:val="24"/>
          <w:szCs w:val="24"/>
          <w:u w:val="single"/>
          <w:lang w:val="en-US" w:eastAsia="zh-CN"/>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05BA57CB">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资质类别和等级：</w:t>
      </w:r>
      <w:r>
        <w:rPr>
          <w:rFonts w:hint="eastAsia" w:ascii="宋体" w:hAnsi="宋体" w:eastAsia="宋体" w:cs="宋体"/>
          <w:color w:val="auto"/>
          <w:sz w:val="24"/>
          <w:szCs w:val="24"/>
          <w:u w:val="single"/>
        </w:rPr>
        <w:t xml:space="preserve">                 </w:t>
      </w:r>
      <w:r>
        <w:rPr>
          <w:rFonts w:hint="eastAsia" w:ascii="宋体" w:hAnsi="宋体" w:cs="宋体"/>
          <w:color w:val="auto"/>
          <w:sz w:val="24"/>
          <w:szCs w:val="24"/>
          <w:u w:val="single"/>
          <w:lang w:val="en-US" w:eastAsia="zh-CN"/>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270D3238">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联系电话：</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24F5E430">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电子信箱：</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7EF93582">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通信地址：</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50695A0F">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1.1.2.5 设计人：</w:t>
      </w:r>
    </w:p>
    <w:p w14:paraId="0146A554">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名    称：</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69D6E499">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资质类别和等级：</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7D381E97">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联系电话：</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1637B2E8">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电子信箱：</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752FF2B8">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通信地址：</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1291CF4A">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1.1.3 工程和设备</w:t>
      </w:r>
    </w:p>
    <w:p w14:paraId="6022DAEA">
      <w:pPr>
        <w:adjustRightInd w:val="0"/>
        <w:snapToGrid w:val="0"/>
        <w:spacing w:line="440" w:lineRule="exact"/>
        <w:ind w:firstLine="480" w:firstLineChars="200"/>
        <w:rPr>
          <w:rFonts w:hint="eastAsia" w:ascii="宋体" w:hAnsi="宋体" w:eastAsia="宋体" w:cs="宋体"/>
          <w:color w:val="auto"/>
          <w:sz w:val="24"/>
          <w:szCs w:val="24"/>
          <w:u w:val="single"/>
        </w:rPr>
      </w:pPr>
      <w:r>
        <w:rPr>
          <w:rFonts w:hint="eastAsia" w:ascii="宋体" w:hAnsi="宋体" w:eastAsia="宋体" w:cs="宋体"/>
          <w:color w:val="auto"/>
          <w:sz w:val="24"/>
          <w:szCs w:val="24"/>
        </w:rPr>
        <w:t>1.1.3.7 作为施工现场组成部分的其他场所包括：</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5578CB90">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1.1.3.9 永久占地包括：</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2CD1DE3F">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1.1.3.10 临时占地包括：</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3B8515AB">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1.3法律 </w:t>
      </w:r>
    </w:p>
    <w:p w14:paraId="4E3F3313">
      <w:pPr>
        <w:autoSpaceDE w:val="0"/>
        <w:autoSpaceDN w:val="0"/>
        <w:adjustRightInd w:val="0"/>
        <w:spacing w:line="440" w:lineRule="exact"/>
        <w:ind w:firstLine="480" w:firstLineChars="200"/>
        <w:rPr>
          <w:rFonts w:hint="eastAsia" w:ascii="宋体" w:hAnsi="宋体" w:eastAsia="宋体" w:cs="宋体"/>
          <w:b/>
          <w:color w:val="auto"/>
          <w:sz w:val="24"/>
          <w:szCs w:val="24"/>
          <w:u w:val="single"/>
        </w:rPr>
      </w:pPr>
      <w:r>
        <w:rPr>
          <w:rFonts w:hint="eastAsia" w:ascii="宋体" w:hAnsi="宋体" w:eastAsia="宋体" w:cs="宋体"/>
          <w:color w:val="auto"/>
          <w:sz w:val="24"/>
          <w:szCs w:val="24"/>
        </w:rPr>
        <w:t>适用于合同的其他规范性文件：</w:t>
      </w:r>
      <w:r>
        <w:rPr>
          <w:rFonts w:hint="eastAsia" w:ascii="宋体" w:hAnsi="宋体" w:eastAsia="宋体" w:cs="宋体"/>
          <w:b/>
          <w:color w:val="auto"/>
          <w:sz w:val="24"/>
          <w:szCs w:val="24"/>
          <w:u w:val="single"/>
        </w:rPr>
        <w:t>包含但不限于以下文件：《中华人民共和国建筑法》、《中华人民共和国民法典》、《中华人民共和国招标投标法》、七部委第 12 号令《评标委员会和评标方法暂行规定》、建设部第89号令《房屋建筑和市政基础设施工程施工招标投标管理办法》、七部委第30号令、《建设工程质量管理条例》（国务院第279号令）、《江苏省工程建设管理条例》、《江苏省建筑市场管理条例》。</w:t>
      </w:r>
    </w:p>
    <w:p w14:paraId="13D715C0">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1.4 标准和规范</w:t>
      </w:r>
    </w:p>
    <w:p w14:paraId="51CC44FA">
      <w:pPr>
        <w:adjustRightInd w:val="0"/>
        <w:snapToGrid w:val="0"/>
        <w:spacing w:line="440" w:lineRule="exact"/>
        <w:ind w:firstLine="480" w:firstLineChars="200"/>
        <w:rPr>
          <w:rFonts w:hint="eastAsia" w:ascii="宋体" w:hAnsi="宋体" w:eastAsia="宋体" w:cs="宋体"/>
          <w:b/>
          <w:color w:val="auto"/>
          <w:sz w:val="24"/>
          <w:szCs w:val="24"/>
          <w:u w:val="single"/>
        </w:rPr>
      </w:pPr>
      <w:r>
        <w:rPr>
          <w:rFonts w:hint="eastAsia" w:ascii="宋体" w:hAnsi="宋体" w:eastAsia="宋体" w:cs="宋体"/>
          <w:color w:val="auto"/>
          <w:sz w:val="24"/>
          <w:szCs w:val="24"/>
        </w:rPr>
        <w:t>1.4.1适用于工程的标准规范包括：</w:t>
      </w:r>
      <w:r>
        <w:rPr>
          <w:rFonts w:hint="eastAsia" w:ascii="宋体" w:hAnsi="宋体" w:eastAsia="宋体" w:cs="宋体"/>
          <w:b/>
          <w:color w:val="auto"/>
          <w:sz w:val="24"/>
          <w:szCs w:val="24"/>
          <w:u w:val="single"/>
        </w:rPr>
        <w:t>本工程应按国家有关规范与标准执行。当标准互相矛盾时，以最新和最严格的为准。</w:t>
      </w:r>
    </w:p>
    <w:p w14:paraId="6C763490">
      <w:pPr>
        <w:adjustRightInd w:val="0"/>
        <w:snapToGrid w:val="0"/>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没有国家标准、规范但有行业标准、规范，约定适用行业标准、规范；没有国家和行业标准、规范，约定适用工程所在地地方标准、规范。这些标准必须是有关机构发布的最新版本的标准。</w:t>
      </w:r>
    </w:p>
    <w:p w14:paraId="2EBCFD63">
      <w:pPr>
        <w:adjustRightInd w:val="0"/>
        <w:snapToGrid w:val="0"/>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国内没有相应标准、规范，由发包人向承包人提出施工技术要求，承包人按约定的时间和要求提出施工工艺报监理人审查，经发包人批准后执行。</w:t>
      </w:r>
    </w:p>
    <w:p w14:paraId="59D49E3B">
      <w:pPr>
        <w:adjustRightInd w:val="0"/>
        <w:snapToGrid w:val="0"/>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发包人要求使用国外标准、规范的，应负责提供中文译本。</w:t>
      </w:r>
    </w:p>
    <w:p w14:paraId="2A57B483">
      <w:pPr>
        <w:adjustRightInd w:val="0"/>
        <w:snapToGrid w:val="0"/>
        <w:spacing w:line="440" w:lineRule="exact"/>
        <w:ind w:firstLine="480" w:firstLineChars="200"/>
        <w:outlineLvl w:val="0"/>
        <w:rPr>
          <w:rFonts w:hint="eastAsia" w:ascii="宋体" w:hAnsi="宋体" w:eastAsia="宋体" w:cs="宋体"/>
          <w:color w:val="auto"/>
          <w:sz w:val="24"/>
          <w:szCs w:val="24"/>
          <w:u w:val="single"/>
        </w:rPr>
      </w:pPr>
      <w:r>
        <w:rPr>
          <w:rFonts w:hint="eastAsia" w:ascii="宋体" w:hAnsi="宋体" w:eastAsia="宋体" w:cs="宋体"/>
          <w:color w:val="auto"/>
          <w:sz w:val="24"/>
          <w:szCs w:val="24"/>
        </w:rPr>
        <w:t>1.4.2 发包人提供国外标准、规范的名称：</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w:t>
      </w:r>
      <w:r>
        <w:rPr>
          <w:rFonts w:hint="eastAsia" w:ascii="宋体" w:hAnsi="宋体" w:eastAsia="宋体" w:cs="宋体"/>
          <w:color w:val="auto"/>
          <w:sz w:val="24"/>
          <w:szCs w:val="24"/>
          <w:u w:val="single"/>
        </w:rPr>
        <w:t xml:space="preserve">           </w:t>
      </w:r>
    </w:p>
    <w:p w14:paraId="7129DE29">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发包人提供国外标准、规范的份数：</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6FA0F088">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发包人提供国外标准、规范的名称：</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3B9B4267">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1.4.3发包人对工程的技术标准和功能要求的特殊要求：</w:t>
      </w:r>
      <w:r>
        <w:rPr>
          <w:rFonts w:hint="eastAsia" w:ascii="宋体" w:hAnsi="宋体" w:eastAsia="宋体" w:cs="宋体"/>
          <w:color w:val="auto"/>
          <w:sz w:val="24"/>
          <w:szCs w:val="24"/>
          <w:u w:val="single"/>
        </w:rPr>
        <w:t xml:space="preserve"> 按照设计要求执行 </w:t>
      </w:r>
      <w:r>
        <w:rPr>
          <w:rFonts w:hint="eastAsia" w:ascii="宋体" w:hAnsi="宋体" w:eastAsia="宋体" w:cs="宋体"/>
          <w:color w:val="auto"/>
          <w:sz w:val="24"/>
          <w:szCs w:val="24"/>
        </w:rPr>
        <w:t>。</w:t>
      </w:r>
    </w:p>
    <w:p w14:paraId="6236FEE9">
      <w:pPr>
        <w:adjustRightInd w:val="0"/>
        <w:snapToGrid w:val="0"/>
        <w:spacing w:line="44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1.5 合同文件的优先顺序</w:t>
      </w:r>
    </w:p>
    <w:p w14:paraId="225535FA">
      <w:pPr>
        <w:autoSpaceDE w:val="0"/>
        <w:autoSpaceDN w:val="0"/>
        <w:adjustRightInd w:val="0"/>
        <w:spacing w:line="440" w:lineRule="exact"/>
        <w:ind w:firstLine="482" w:firstLineChars="200"/>
        <w:jc w:val="left"/>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构成本合同的文件应是互作说明和相互补充的。当合同文件内容含糊不清或不相一致时，由发包人作出解释。若承包人对发包人作出的解释有异议时，按第20.4款关于争议的约定处理。</w:t>
      </w:r>
    </w:p>
    <w:p w14:paraId="043E51E8">
      <w:pPr>
        <w:autoSpaceDE w:val="0"/>
        <w:autoSpaceDN w:val="0"/>
        <w:adjustRightInd w:val="0"/>
        <w:spacing w:line="440" w:lineRule="exact"/>
        <w:ind w:firstLine="480" w:firstLineChars="200"/>
        <w:jc w:val="left"/>
        <w:rPr>
          <w:rFonts w:hint="eastAsia" w:ascii="宋体" w:hAnsi="宋体" w:eastAsia="宋体" w:cs="宋体"/>
          <w:b/>
          <w:color w:val="auto"/>
          <w:sz w:val="24"/>
          <w:szCs w:val="24"/>
          <w:u w:val="single"/>
        </w:rPr>
      </w:pPr>
      <w:r>
        <w:rPr>
          <w:rFonts w:hint="eastAsia" w:ascii="宋体" w:hAnsi="宋体" w:eastAsia="宋体" w:cs="宋体"/>
          <w:color w:val="auto"/>
          <w:sz w:val="24"/>
          <w:szCs w:val="24"/>
        </w:rPr>
        <w:t xml:space="preserve"> </w:t>
      </w:r>
      <w:r>
        <w:rPr>
          <w:rFonts w:hint="eastAsia" w:ascii="宋体" w:hAnsi="宋体" w:eastAsia="宋体" w:cs="宋体"/>
          <w:b/>
          <w:color w:val="auto"/>
          <w:sz w:val="24"/>
          <w:szCs w:val="24"/>
          <w:u w:val="single"/>
        </w:rPr>
        <w:t xml:space="preserve"> 除非合同另有规定的，</w:t>
      </w:r>
      <w:r>
        <w:rPr>
          <w:rFonts w:hint="eastAsia" w:ascii="宋体" w:hAnsi="宋体" w:eastAsia="宋体" w:cs="宋体"/>
          <w:color w:val="auto"/>
          <w:sz w:val="24"/>
          <w:szCs w:val="24"/>
        </w:rPr>
        <w:t>合同文件组成及优先顺序为：</w:t>
      </w:r>
      <w:r>
        <w:rPr>
          <w:rFonts w:hint="eastAsia" w:ascii="宋体" w:hAnsi="宋体" w:eastAsia="宋体" w:cs="宋体"/>
          <w:b/>
          <w:color w:val="auto"/>
          <w:sz w:val="24"/>
          <w:szCs w:val="24"/>
          <w:u w:val="single"/>
        </w:rPr>
        <w:t>（1）本合同协议书；（2）中标通知书；（3）招标文件及修改、补充文件；（3）本合同专用条款及其附件；（4）本合同通用条款；（5）施工图；（6）相关技术规范、标准和要求；（7）已标价工程量清单或预算书；（8）投标函、投标文件及其附件；（9）发包人与监理人签订的本工程《委托监理合同》；（10）发包人与承包人有关工程的洽商、变更等协议或文件；（11）其他合同文件。</w:t>
      </w:r>
    </w:p>
    <w:p w14:paraId="209A669B">
      <w:pPr>
        <w:autoSpaceDE w:val="0"/>
        <w:autoSpaceDN w:val="0"/>
        <w:adjustRightInd w:val="0"/>
        <w:spacing w:line="440" w:lineRule="exact"/>
        <w:ind w:firstLine="482" w:firstLineChars="200"/>
        <w:jc w:val="left"/>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除非合同另有约定，在评标阶段、合同签订和合同执行过程中，发包人与承包人签署与本合同有关的补充协议、补充文件、澄清文件、洽商、变更、纪要等亦构成合同组成部分，其优先解释顺序应视其内容与其他合同文件的相互关系而定。</w:t>
      </w:r>
    </w:p>
    <w:p w14:paraId="65F6B229">
      <w:pPr>
        <w:adjustRightInd w:val="0"/>
        <w:snapToGrid w:val="0"/>
        <w:spacing w:line="44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1.6 图纸和承包人文件</w:t>
      </w:r>
      <w:r>
        <w:rPr>
          <w:rFonts w:hint="eastAsia" w:ascii="宋体" w:hAnsi="宋体" w:eastAsia="宋体" w:cs="宋体"/>
          <w:color w:val="auto"/>
          <w:sz w:val="24"/>
          <w:szCs w:val="24"/>
        </w:rPr>
        <w:tab/>
      </w:r>
    </w:p>
    <w:p w14:paraId="74490F5F">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1.6.1 图纸的提供</w:t>
      </w:r>
    </w:p>
    <w:p w14:paraId="1B5CACA9">
      <w:pPr>
        <w:autoSpaceDE w:val="0"/>
        <w:autoSpaceDN w:val="0"/>
        <w:adjustRightIn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发包人向承包人提供图纸的期限：</w:t>
      </w:r>
      <w:r>
        <w:rPr>
          <w:rFonts w:hint="eastAsia" w:ascii="宋体" w:hAnsi="宋体" w:eastAsia="宋体" w:cs="宋体"/>
          <w:b/>
          <w:color w:val="auto"/>
          <w:sz w:val="24"/>
          <w:szCs w:val="24"/>
          <w:u w:val="single"/>
        </w:rPr>
        <w:t>合同签订后开工前；</w:t>
      </w:r>
    </w:p>
    <w:p w14:paraId="456BEE16">
      <w:pPr>
        <w:spacing w:line="440" w:lineRule="exact"/>
        <w:ind w:firstLine="480" w:firstLineChars="200"/>
        <w:rPr>
          <w:rFonts w:hint="eastAsia" w:ascii="宋体" w:hAnsi="宋体" w:eastAsia="宋体" w:cs="宋体"/>
          <w:b/>
          <w:color w:val="auto"/>
          <w:sz w:val="24"/>
          <w:szCs w:val="24"/>
          <w:u w:val="single"/>
        </w:rPr>
      </w:pPr>
      <w:r>
        <w:rPr>
          <w:rFonts w:hint="eastAsia" w:ascii="宋体" w:hAnsi="宋体" w:eastAsia="宋体" w:cs="宋体"/>
          <w:color w:val="auto"/>
          <w:sz w:val="24"/>
          <w:szCs w:val="24"/>
        </w:rPr>
        <w:t>发包人向承包人提供图纸的数量：</w:t>
      </w:r>
      <w:r>
        <w:rPr>
          <w:rFonts w:hint="eastAsia" w:ascii="宋体" w:hAnsi="宋体" w:eastAsia="宋体" w:cs="宋体"/>
          <w:b/>
          <w:color w:val="auto"/>
          <w:sz w:val="24"/>
          <w:szCs w:val="24"/>
          <w:u w:val="single"/>
        </w:rPr>
        <w:t xml:space="preserve">叁套； </w:t>
      </w:r>
    </w:p>
    <w:p w14:paraId="09044736">
      <w:pPr>
        <w:spacing w:line="440" w:lineRule="exact"/>
        <w:ind w:firstLine="480" w:firstLineChars="200"/>
        <w:rPr>
          <w:rFonts w:hint="eastAsia" w:ascii="宋体" w:hAnsi="宋体" w:eastAsia="宋体" w:cs="宋体"/>
          <w:b/>
          <w:color w:val="auto"/>
          <w:sz w:val="24"/>
          <w:szCs w:val="24"/>
          <w:u w:val="single"/>
        </w:rPr>
      </w:pPr>
      <w:r>
        <w:rPr>
          <w:rFonts w:hint="eastAsia" w:ascii="宋体" w:hAnsi="宋体" w:eastAsia="宋体" w:cs="宋体"/>
          <w:color w:val="auto"/>
          <w:sz w:val="24"/>
          <w:szCs w:val="24"/>
        </w:rPr>
        <w:t>发包人向承包人提供图纸的内容：</w:t>
      </w:r>
      <w:r>
        <w:rPr>
          <w:rFonts w:hint="eastAsia" w:ascii="宋体" w:hAnsi="宋体" w:eastAsia="宋体" w:cs="宋体"/>
          <w:b/>
          <w:color w:val="auto"/>
          <w:sz w:val="24"/>
          <w:szCs w:val="24"/>
          <w:u w:val="single"/>
        </w:rPr>
        <w:t>施工图。</w:t>
      </w:r>
    </w:p>
    <w:p w14:paraId="4BBA283B">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1.6.4 承包人文件</w:t>
      </w:r>
    </w:p>
    <w:p w14:paraId="35F27D4C">
      <w:pPr>
        <w:autoSpaceDE w:val="0"/>
        <w:autoSpaceDN w:val="0"/>
        <w:adjustRightInd w:val="0"/>
        <w:spacing w:line="440" w:lineRule="exact"/>
        <w:ind w:firstLine="480" w:firstLineChars="200"/>
        <w:rPr>
          <w:rFonts w:hint="eastAsia" w:ascii="宋体" w:hAnsi="宋体" w:eastAsia="宋体" w:cs="宋体"/>
          <w:b/>
          <w:color w:val="auto"/>
          <w:sz w:val="24"/>
          <w:szCs w:val="24"/>
          <w:u w:val="single"/>
        </w:rPr>
      </w:pPr>
      <w:r>
        <w:rPr>
          <w:rFonts w:hint="eastAsia" w:ascii="宋体" w:hAnsi="宋体" w:eastAsia="宋体" w:cs="宋体"/>
          <w:color w:val="auto"/>
          <w:sz w:val="24"/>
          <w:szCs w:val="24"/>
        </w:rPr>
        <w:t>需要由承包人提供的文件，包括：</w:t>
      </w:r>
      <w:r>
        <w:rPr>
          <w:rFonts w:hint="eastAsia" w:ascii="宋体" w:hAnsi="宋体" w:eastAsia="宋体" w:cs="宋体"/>
          <w:b/>
          <w:color w:val="auto"/>
          <w:sz w:val="24"/>
          <w:szCs w:val="24"/>
          <w:u w:val="single"/>
        </w:rPr>
        <w:t>中标后三周内提供详细的施工组织设计、总进度计划。一周内提供材料计划，每月25日前分别向发包人及监理方提供详细的月报。每周四向监理和发包人提供下一周详细的施工进度计划及本周施工进度报表。具体计划及时间要求根据工程需要补充明确。施工组织设计经发包人及监理审批通过后方可开工。</w:t>
      </w:r>
      <w:r>
        <w:rPr>
          <w:rFonts w:hint="eastAsia" w:ascii="宋体" w:hAnsi="宋体" w:eastAsia="宋体" w:cs="宋体"/>
          <w:b/>
          <w:color w:val="auto"/>
          <w:sz w:val="24"/>
          <w:szCs w:val="24"/>
          <w:u w:val="single"/>
        </w:rPr>
        <w:br w:type="textWrapping"/>
      </w:r>
      <w:r>
        <w:rPr>
          <w:rFonts w:hint="eastAsia" w:ascii="宋体" w:hAnsi="宋体" w:eastAsia="宋体" w:cs="宋体"/>
          <w:b/>
          <w:color w:val="auto"/>
          <w:sz w:val="24"/>
          <w:szCs w:val="24"/>
        </w:rPr>
        <w:t xml:space="preserve">    </w:t>
      </w:r>
      <w:r>
        <w:rPr>
          <w:rFonts w:hint="eastAsia" w:ascii="宋体" w:hAnsi="宋体" w:eastAsia="宋体" w:cs="宋体"/>
          <w:b/>
          <w:color w:val="auto"/>
          <w:sz w:val="24"/>
          <w:szCs w:val="24"/>
          <w:u w:val="single"/>
        </w:rPr>
        <w:t>未按时提交上述资料，每延迟一天按1000元/天向发包人支付违约金，累计不超过合同价的0.5%。</w:t>
      </w:r>
    </w:p>
    <w:p w14:paraId="1AED22CB">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承包人提供的文件的数量为：</w:t>
      </w:r>
      <w:r>
        <w:rPr>
          <w:rFonts w:hint="eastAsia" w:ascii="宋体" w:hAnsi="宋体" w:eastAsia="宋体" w:cs="宋体"/>
          <w:b/>
          <w:color w:val="auto"/>
          <w:sz w:val="24"/>
          <w:szCs w:val="24"/>
          <w:u w:val="single"/>
        </w:rPr>
        <w:t>按发包人要求</w:t>
      </w:r>
      <w:r>
        <w:rPr>
          <w:rFonts w:hint="eastAsia" w:ascii="宋体" w:hAnsi="宋体" w:eastAsia="宋体" w:cs="宋体"/>
          <w:color w:val="auto"/>
          <w:sz w:val="24"/>
          <w:szCs w:val="24"/>
        </w:rPr>
        <w:t>；</w:t>
      </w:r>
    </w:p>
    <w:p w14:paraId="4A38CF56">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承包人提供的文件的形式为：</w:t>
      </w:r>
      <w:r>
        <w:rPr>
          <w:rFonts w:hint="eastAsia" w:ascii="宋体" w:hAnsi="宋体" w:eastAsia="宋体" w:cs="宋体"/>
          <w:b/>
          <w:color w:val="auto"/>
          <w:sz w:val="24"/>
          <w:szCs w:val="24"/>
          <w:u w:val="single"/>
        </w:rPr>
        <w:t>书面形式</w:t>
      </w:r>
      <w:r>
        <w:rPr>
          <w:rFonts w:hint="eastAsia" w:ascii="宋体" w:hAnsi="宋体" w:eastAsia="宋体" w:cs="宋体"/>
          <w:color w:val="auto"/>
          <w:sz w:val="24"/>
          <w:szCs w:val="24"/>
        </w:rPr>
        <w:t>；</w:t>
      </w:r>
    </w:p>
    <w:p w14:paraId="24951410">
      <w:pPr>
        <w:adjustRightInd w:val="0"/>
        <w:snapToGrid w:val="0"/>
        <w:spacing w:line="440" w:lineRule="exact"/>
        <w:ind w:firstLine="480" w:firstLineChars="200"/>
        <w:rPr>
          <w:rFonts w:hint="eastAsia" w:ascii="宋体" w:hAnsi="宋体" w:eastAsia="宋体" w:cs="宋体"/>
          <w:b/>
          <w:color w:val="auto"/>
          <w:sz w:val="24"/>
          <w:szCs w:val="24"/>
          <w:u w:val="single"/>
        </w:rPr>
      </w:pPr>
      <w:r>
        <w:rPr>
          <w:rFonts w:hint="eastAsia" w:ascii="宋体" w:hAnsi="宋体" w:eastAsia="宋体" w:cs="宋体"/>
          <w:color w:val="auto"/>
          <w:sz w:val="24"/>
          <w:szCs w:val="24"/>
        </w:rPr>
        <w:t>发包人审批承包人文件的期限：</w:t>
      </w:r>
      <w:r>
        <w:rPr>
          <w:rFonts w:hint="eastAsia" w:ascii="宋体" w:hAnsi="宋体" w:eastAsia="宋体" w:cs="宋体"/>
          <w:b/>
          <w:color w:val="auto"/>
          <w:sz w:val="24"/>
          <w:szCs w:val="24"/>
          <w:u w:val="single"/>
        </w:rPr>
        <w:t>收到文件后7天内。</w:t>
      </w:r>
    </w:p>
    <w:p w14:paraId="3E9AE041">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1.6.5 现场图纸准备</w:t>
      </w:r>
    </w:p>
    <w:p w14:paraId="0FDD0B2B">
      <w:pPr>
        <w:adjustRightInd w:val="0"/>
        <w:snapToGrid w:val="0"/>
        <w:spacing w:line="440" w:lineRule="exact"/>
        <w:ind w:firstLine="480" w:firstLineChars="200"/>
        <w:rPr>
          <w:rFonts w:hint="eastAsia" w:ascii="宋体" w:hAnsi="宋体" w:eastAsia="宋体" w:cs="宋体"/>
          <w:b/>
          <w:color w:val="auto"/>
          <w:sz w:val="24"/>
          <w:szCs w:val="24"/>
          <w:u w:val="single"/>
        </w:rPr>
      </w:pPr>
      <w:r>
        <w:rPr>
          <w:rFonts w:hint="eastAsia" w:ascii="宋体" w:hAnsi="宋体" w:eastAsia="宋体" w:cs="宋体"/>
          <w:color w:val="auto"/>
          <w:sz w:val="24"/>
          <w:szCs w:val="24"/>
        </w:rPr>
        <w:t>关于现场图纸准备的约定：</w:t>
      </w:r>
      <w:r>
        <w:rPr>
          <w:rFonts w:hint="eastAsia" w:ascii="宋体" w:hAnsi="宋体" w:eastAsia="宋体" w:cs="宋体"/>
          <w:b/>
          <w:color w:val="auto"/>
          <w:sz w:val="24"/>
          <w:szCs w:val="24"/>
          <w:u w:val="single"/>
        </w:rPr>
        <w:t>施工现场保留一套完整图纸供发包人、监理人及有关人员使用。</w:t>
      </w:r>
    </w:p>
    <w:p w14:paraId="748C2626">
      <w:pPr>
        <w:adjustRightInd w:val="0"/>
        <w:snapToGrid w:val="0"/>
        <w:spacing w:line="44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1.7 联络</w:t>
      </w:r>
    </w:p>
    <w:p w14:paraId="4764F435">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1.7.1发包人和承包人应当在</w:t>
      </w:r>
      <w:r>
        <w:rPr>
          <w:rFonts w:hint="eastAsia" w:ascii="宋体" w:hAnsi="宋体" w:eastAsia="宋体" w:cs="宋体"/>
          <w:color w:val="auto"/>
          <w:sz w:val="24"/>
          <w:szCs w:val="24"/>
          <w:u w:val="single"/>
        </w:rPr>
        <w:t xml:space="preserve">   3   </w:t>
      </w:r>
      <w:r>
        <w:rPr>
          <w:rFonts w:hint="eastAsia" w:ascii="宋体" w:hAnsi="宋体" w:eastAsia="宋体" w:cs="宋体"/>
          <w:color w:val="auto"/>
          <w:sz w:val="24"/>
          <w:szCs w:val="24"/>
        </w:rPr>
        <w:t>天内将与合同有关的通知、批准、证明、证书、指示、指令、要求、请求、同意、意见、确定和决定等书面函件送达对方当事人。</w:t>
      </w:r>
    </w:p>
    <w:p w14:paraId="1FB5DFC8">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1.7.2 发包人接收文件的地点：</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工地现场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2386F23E">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发包人指定的接收人为：</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发包人代表</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5E03145C">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承包人接收文件的地点：</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工地现场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41662873">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承包人指定的接收人为：</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项目经理</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55A21167">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监理人接收文件的地点：</w:t>
      </w:r>
      <w:r>
        <w:rPr>
          <w:rFonts w:hint="eastAsia" w:ascii="宋体" w:hAnsi="宋体" w:eastAsia="宋体" w:cs="宋体"/>
          <w:color w:val="auto"/>
          <w:sz w:val="24"/>
          <w:szCs w:val="24"/>
          <w:u w:val="single"/>
        </w:rPr>
        <w:t xml:space="preserve">   </w:t>
      </w:r>
      <w:r>
        <w:rPr>
          <w:rFonts w:hint="eastAsia" w:ascii="宋体" w:hAnsi="宋体" w:cs="宋体"/>
          <w:b/>
          <w:color w:val="auto"/>
          <w:sz w:val="24"/>
          <w:szCs w:val="24"/>
          <w:u w:val="single"/>
          <w:lang w:val="en-US" w:eastAsia="zh-CN"/>
        </w:rPr>
        <w:t>/</w:t>
      </w:r>
      <w:r>
        <w:rPr>
          <w:rFonts w:hint="eastAsia" w:ascii="宋体" w:hAnsi="宋体" w:eastAsia="宋体" w:cs="宋体"/>
          <w:b/>
          <w:color w:val="auto"/>
          <w:sz w:val="24"/>
          <w:szCs w:val="24"/>
          <w:u w:val="single"/>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4181C4B6">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监理人指定的接收人为：</w:t>
      </w:r>
      <w:r>
        <w:rPr>
          <w:rFonts w:hint="eastAsia" w:ascii="宋体" w:hAnsi="宋体" w:eastAsia="宋体" w:cs="宋体"/>
          <w:color w:val="auto"/>
          <w:sz w:val="24"/>
          <w:szCs w:val="24"/>
          <w:u w:val="single"/>
        </w:rPr>
        <w:t xml:space="preserve">    </w:t>
      </w:r>
      <w:r>
        <w:rPr>
          <w:rFonts w:hint="eastAsia" w:ascii="宋体" w:hAnsi="宋体" w:cs="宋体"/>
          <w:b/>
          <w:color w:val="auto"/>
          <w:sz w:val="24"/>
          <w:szCs w:val="24"/>
          <w:u w:val="single"/>
          <w:lang w:val="en-US" w:eastAsia="zh-CN"/>
        </w:rPr>
        <w:t>/</w:t>
      </w:r>
      <w:r>
        <w:rPr>
          <w:rFonts w:hint="eastAsia" w:ascii="宋体" w:hAnsi="宋体" w:eastAsia="宋体" w:cs="宋体"/>
          <w:b/>
          <w:color w:val="auto"/>
          <w:sz w:val="24"/>
          <w:szCs w:val="24"/>
          <w:u w:val="single"/>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28CE4805">
      <w:pPr>
        <w:adjustRightInd w:val="0"/>
        <w:snapToGrid w:val="0"/>
        <w:spacing w:line="44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1.10 交通运输</w:t>
      </w:r>
    </w:p>
    <w:p w14:paraId="7A55BD2E">
      <w:pPr>
        <w:adjustRightInd w:val="0"/>
        <w:snapToGrid w:val="0"/>
        <w:spacing w:line="44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1</w:t>
      </w:r>
      <w:bookmarkStart w:id="62" w:name="_Toc303539100"/>
      <w:bookmarkStart w:id="63" w:name="_Toc304295521"/>
      <w:bookmarkStart w:id="64" w:name="_Toc300934943"/>
      <w:bookmarkStart w:id="65" w:name="_Toc312677986"/>
      <w:bookmarkStart w:id="66" w:name="_Toc318581155"/>
      <w:r>
        <w:rPr>
          <w:rFonts w:hint="eastAsia" w:ascii="宋体" w:hAnsi="宋体" w:eastAsia="宋体" w:cs="宋体"/>
          <w:color w:val="auto"/>
          <w:sz w:val="24"/>
          <w:szCs w:val="24"/>
        </w:rPr>
        <w:t>.10.1 出入现场的权利</w:t>
      </w:r>
    </w:p>
    <w:p w14:paraId="17DB3040">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关于出入现场的权利的约定：</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bookmarkEnd w:id="62"/>
    <w:bookmarkEnd w:id="63"/>
    <w:bookmarkEnd w:id="64"/>
    <w:bookmarkEnd w:id="65"/>
    <w:bookmarkEnd w:id="66"/>
    <w:p w14:paraId="3431D22E">
      <w:pPr>
        <w:adjustRightInd w:val="0"/>
        <w:snapToGrid w:val="0"/>
        <w:spacing w:line="440" w:lineRule="exact"/>
        <w:ind w:firstLine="480" w:firstLineChars="200"/>
        <w:jc w:val="left"/>
        <w:outlineLvl w:val="0"/>
        <w:rPr>
          <w:rFonts w:hint="eastAsia" w:ascii="宋体" w:hAnsi="宋体" w:eastAsia="宋体" w:cs="宋体"/>
          <w:color w:val="auto"/>
          <w:sz w:val="24"/>
          <w:szCs w:val="24"/>
        </w:rPr>
      </w:pPr>
      <w:r>
        <w:rPr>
          <w:rFonts w:hint="eastAsia" w:ascii="宋体" w:hAnsi="宋体" w:eastAsia="宋体" w:cs="宋体"/>
          <w:color w:val="auto"/>
          <w:sz w:val="24"/>
          <w:szCs w:val="24"/>
        </w:rPr>
        <w:t>1</w:t>
      </w:r>
      <w:bookmarkStart w:id="67" w:name="_Toc312677987"/>
      <w:bookmarkStart w:id="68" w:name="_Toc303539101"/>
      <w:bookmarkStart w:id="69" w:name="_Toc300934944"/>
      <w:bookmarkStart w:id="70" w:name="_Toc318581156"/>
      <w:bookmarkStart w:id="71" w:name="_Toc304295522"/>
      <w:r>
        <w:rPr>
          <w:rFonts w:hint="eastAsia" w:ascii="宋体" w:hAnsi="宋体" w:eastAsia="宋体" w:cs="宋体"/>
          <w:color w:val="auto"/>
          <w:sz w:val="24"/>
          <w:szCs w:val="24"/>
        </w:rPr>
        <w:t>.10.3 场内交通</w:t>
      </w:r>
    </w:p>
    <w:p w14:paraId="762F13EB">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关于场外交通和场内交通的边界的约定：</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以施工现场及周边的现状为准</w:t>
      </w:r>
      <w:r>
        <w:rPr>
          <w:rFonts w:hint="eastAsia" w:ascii="宋体" w:hAnsi="宋体" w:eastAsia="宋体" w:cs="宋体"/>
          <w:color w:val="auto"/>
          <w:sz w:val="24"/>
          <w:szCs w:val="24"/>
        </w:rPr>
        <w:t>。</w:t>
      </w:r>
    </w:p>
    <w:p w14:paraId="74D60ADC">
      <w:pPr>
        <w:adjustRightInd w:val="0"/>
        <w:snapToGrid w:val="0"/>
        <w:spacing w:line="440" w:lineRule="exact"/>
        <w:ind w:firstLine="480" w:firstLineChars="200"/>
        <w:jc w:val="left"/>
        <w:rPr>
          <w:rFonts w:hint="eastAsia" w:ascii="宋体" w:hAnsi="宋体" w:eastAsia="宋体" w:cs="宋体"/>
          <w:b/>
          <w:color w:val="auto"/>
          <w:sz w:val="24"/>
          <w:szCs w:val="24"/>
          <w:u w:val="single"/>
        </w:rPr>
      </w:pPr>
      <w:r>
        <w:rPr>
          <w:rFonts w:hint="eastAsia" w:ascii="宋体" w:hAnsi="宋体" w:eastAsia="宋体" w:cs="宋体"/>
          <w:color w:val="auto"/>
          <w:sz w:val="24"/>
          <w:szCs w:val="24"/>
        </w:rPr>
        <w:t>关于发包人向承包人免费提供满足工程施工需要的场内道路和交通设施的约定：</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由承包人根据现场情况将临时施工道路及场地方案报监理及发包人审批通过后实施，费用已含在投标报价中。</w:t>
      </w:r>
      <w:bookmarkEnd w:id="67"/>
      <w:bookmarkEnd w:id="68"/>
      <w:bookmarkEnd w:id="69"/>
      <w:bookmarkEnd w:id="70"/>
      <w:bookmarkEnd w:id="71"/>
      <w:r>
        <w:rPr>
          <w:rFonts w:hint="eastAsia" w:ascii="宋体" w:hAnsi="宋体" w:eastAsia="宋体" w:cs="宋体"/>
          <w:b/>
          <w:color w:val="auto"/>
          <w:sz w:val="24"/>
          <w:szCs w:val="24"/>
          <w:u w:val="single"/>
        </w:rPr>
        <w:t xml:space="preserve"> </w:t>
      </w:r>
      <w:bookmarkStart w:id="72" w:name="_Toc318581157"/>
    </w:p>
    <w:p w14:paraId="75F5F53D">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1.10.4超大件和超重件的运输</w:t>
      </w:r>
    </w:p>
    <w:p w14:paraId="498CC507">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运输超大件或超重件所需的道路和桥梁临时加固改造费用和其他有关费用由</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承包人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承担。</w:t>
      </w:r>
    </w:p>
    <w:bookmarkEnd w:id="72"/>
    <w:p w14:paraId="05FFB865">
      <w:pPr>
        <w:adjustRightInd w:val="0"/>
        <w:snapToGrid w:val="0"/>
        <w:spacing w:line="44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HYPERLINK "E:\\胡\\2022\\Administrator\\Desktop\\驰程路（东方大道～齐心路）施工---城建，桑\\驰程路（东方大道～齐心路）施工-招标文件2018.5.28.doc" \l "_1.11知识产权"</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1.11 知识产权</w:t>
      </w:r>
      <w:r>
        <w:rPr>
          <w:rFonts w:hint="eastAsia" w:ascii="宋体" w:hAnsi="宋体" w:eastAsia="宋体" w:cs="宋体"/>
          <w:color w:val="auto"/>
          <w:sz w:val="24"/>
          <w:szCs w:val="24"/>
        </w:rPr>
        <w:fldChar w:fldCharType="end"/>
      </w:r>
    </w:p>
    <w:p w14:paraId="12841C03">
      <w:pPr>
        <w:spacing w:line="440" w:lineRule="exact"/>
        <w:ind w:firstLine="480" w:firstLineChars="200"/>
        <w:rPr>
          <w:rFonts w:hint="eastAsia" w:ascii="宋体" w:hAnsi="宋体" w:eastAsia="宋体" w:cs="宋体"/>
          <w:b/>
          <w:color w:val="auto"/>
          <w:sz w:val="24"/>
          <w:szCs w:val="24"/>
          <w:u w:val="single"/>
        </w:rPr>
      </w:pPr>
      <w:r>
        <w:rPr>
          <w:rFonts w:hint="eastAsia" w:ascii="宋体" w:hAnsi="宋体" w:eastAsia="宋体" w:cs="宋体"/>
          <w:color w:val="auto"/>
          <w:sz w:val="24"/>
          <w:szCs w:val="24"/>
        </w:rPr>
        <w:t>1.11.1关于发包人提供给承包人的图纸、发包人为实施工程自行编制或委托编制的技术规范以及反映发包人关于合同要求或其他类似性质的文件的著作权的归属：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著作权属发包人。承包人未经发包人同意不得将本工程图纸转给第三人，不得进行复制，不得向承包人以外的人泄露有关图纸内容。</w:t>
      </w:r>
    </w:p>
    <w:p w14:paraId="71863DE1">
      <w:pPr>
        <w:spacing w:line="440" w:lineRule="exact"/>
        <w:ind w:firstLine="480" w:firstLineChars="200"/>
        <w:rPr>
          <w:rFonts w:hint="eastAsia" w:ascii="宋体" w:hAnsi="宋体" w:eastAsia="宋体" w:cs="宋体"/>
          <w:b/>
          <w:color w:val="auto"/>
          <w:sz w:val="24"/>
          <w:szCs w:val="24"/>
          <w:u w:val="single"/>
        </w:rPr>
      </w:pPr>
      <w:r>
        <w:rPr>
          <w:rFonts w:hint="eastAsia" w:ascii="宋体" w:hAnsi="宋体" w:eastAsia="宋体" w:cs="宋体"/>
          <w:color w:val="auto"/>
          <w:sz w:val="24"/>
          <w:szCs w:val="24"/>
        </w:rPr>
        <w:t>关于发包人提供的上述文件的使用限制的要求：</w:t>
      </w:r>
      <w:r>
        <w:rPr>
          <w:rFonts w:hint="eastAsia" w:ascii="宋体" w:hAnsi="宋体" w:eastAsia="宋体" w:cs="宋体"/>
          <w:b/>
          <w:color w:val="auto"/>
          <w:sz w:val="24"/>
          <w:szCs w:val="24"/>
          <w:u w:val="single"/>
        </w:rPr>
        <w:t>按通用条款执行  。</w:t>
      </w:r>
    </w:p>
    <w:p w14:paraId="3E377B62">
      <w:pPr>
        <w:spacing w:line="440" w:lineRule="exact"/>
        <w:ind w:firstLine="480" w:firstLineChars="200"/>
        <w:rPr>
          <w:rFonts w:hint="eastAsia" w:ascii="宋体" w:hAnsi="宋体" w:eastAsia="宋体" w:cs="宋体"/>
          <w:b/>
          <w:color w:val="auto"/>
          <w:sz w:val="24"/>
          <w:szCs w:val="24"/>
          <w:u w:val="single"/>
        </w:rPr>
      </w:pPr>
      <w:r>
        <w:rPr>
          <w:rFonts w:hint="eastAsia" w:ascii="宋体" w:hAnsi="宋体" w:eastAsia="宋体" w:cs="宋体"/>
          <w:color w:val="auto"/>
          <w:sz w:val="24"/>
          <w:szCs w:val="24"/>
        </w:rPr>
        <w:t>1.11.2 关于承包人为实施工程所编制文件的著作权的归属：</w:t>
      </w:r>
      <w:r>
        <w:rPr>
          <w:rFonts w:hint="eastAsia" w:ascii="宋体" w:hAnsi="宋体" w:eastAsia="宋体" w:cs="宋体"/>
          <w:b/>
          <w:color w:val="auto"/>
          <w:sz w:val="24"/>
          <w:szCs w:val="24"/>
          <w:u w:val="single"/>
        </w:rPr>
        <w:t>按通用条款执行 。</w:t>
      </w:r>
    </w:p>
    <w:p w14:paraId="48FB0A8E">
      <w:pPr>
        <w:spacing w:line="440" w:lineRule="exact"/>
        <w:ind w:firstLine="480" w:firstLineChars="200"/>
        <w:rPr>
          <w:rFonts w:hint="eastAsia" w:ascii="宋体" w:hAnsi="宋体" w:eastAsia="宋体" w:cs="宋体"/>
          <w:b/>
          <w:color w:val="auto"/>
          <w:sz w:val="24"/>
          <w:szCs w:val="24"/>
          <w:u w:val="single"/>
        </w:rPr>
      </w:pPr>
      <w:r>
        <w:rPr>
          <w:rFonts w:hint="eastAsia" w:ascii="宋体" w:hAnsi="宋体" w:eastAsia="宋体" w:cs="宋体"/>
          <w:color w:val="auto"/>
          <w:sz w:val="24"/>
          <w:szCs w:val="24"/>
        </w:rPr>
        <w:t>关于承包人提供的上述文件的使用限制的要求：</w:t>
      </w:r>
      <w:r>
        <w:rPr>
          <w:rFonts w:hint="eastAsia" w:ascii="宋体" w:hAnsi="宋体" w:eastAsia="宋体" w:cs="宋体"/>
          <w:b/>
          <w:color w:val="auto"/>
          <w:sz w:val="24"/>
          <w:szCs w:val="24"/>
          <w:u w:val="single"/>
        </w:rPr>
        <w:t>按通用条款执行 。</w:t>
      </w:r>
    </w:p>
    <w:p w14:paraId="413A28CA">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1.11.4 承包人在施工过程中所采用的专利、专有技术、技术秘密的使用费的承担方式：</w:t>
      </w:r>
      <w:r>
        <w:rPr>
          <w:rFonts w:hint="eastAsia" w:ascii="宋体" w:hAnsi="宋体" w:eastAsia="宋体" w:cs="宋体"/>
          <w:b/>
          <w:color w:val="auto"/>
          <w:sz w:val="24"/>
          <w:szCs w:val="24"/>
          <w:u w:val="single"/>
        </w:rPr>
        <w:t>已含在合同价中。</w:t>
      </w:r>
    </w:p>
    <w:p w14:paraId="4F4034DA">
      <w:pPr>
        <w:spacing w:line="440" w:lineRule="exact"/>
        <w:ind w:firstLine="480" w:firstLineChars="200"/>
        <w:rPr>
          <w:rFonts w:hint="eastAsia" w:ascii="宋体" w:hAnsi="宋体" w:eastAsia="宋体" w:cs="宋体"/>
          <w:color w:val="auto"/>
          <w:sz w:val="24"/>
          <w:szCs w:val="24"/>
        </w:rPr>
      </w:pPr>
      <w:bookmarkStart w:id="73" w:name="_Toc296891203"/>
      <w:bookmarkStart w:id="74" w:name="_Toc296347162"/>
      <w:bookmarkStart w:id="75" w:name="_Toc296944502"/>
      <w:bookmarkStart w:id="76" w:name="_Toc292559367"/>
      <w:bookmarkStart w:id="77" w:name="_Toc351203639"/>
      <w:bookmarkStart w:id="78" w:name="_Toc297048349"/>
      <w:bookmarkStart w:id="79" w:name="_Toc296890991"/>
      <w:bookmarkStart w:id="80" w:name="_Toc297120463"/>
      <w:bookmarkStart w:id="81" w:name="_Toc292559872"/>
      <w:bookmarkStart w:id="82" w:name="_Toc296503163"/>
      <w:bookmarkStart w:id="83" w:name="_Toc296346664"/>
      <w:r>
        <w:rPr>
          <w:rFonts w:hint="eastAsia" w:ascii="宋体" w:hAnsi="宋体" w:eastAsia="宋体" w:cs="宋体"/>
          <w:color w:val="auto"/>
          <w:sz w:val="24"/>
          <w:szCs w:val="24"/>
        </w:rPr>
        <w:t>1.13工程量清单错误的修正</w:t>
      </w:r>
    </w:p>
    <w:p w14:paraId="18FA2A58">
      <w:pPr>
        <w:spacing w:line="440" w:lineRule="exact"/>
        <w:ind w:firstLine="480" w:firstLineChars="200"/>
        <w:rPr>
          <w:rFonts w:hint="eastAsia" w:ascii="宋体" w:hAnsi="宋体" w:eastAsia="宋体" w:cs="宋体"/>
          <w:b/>
          <w:color w:val="auto"/>
          <w:sz w:val="24"/>
          <w:szCs w:val="24"/>
          <w:u w:val="single"/>
        </w:rPr>
      </w:pPr>
      <w:r>
        <w:rPr>
          <w:rFonts w:hint="eastAsia" w:ascii="宋体" w:hAnsi="宋体" w:eastAsia="宋体" w:cs="宋体"/>
          <w:color w:val="auto"/>
          <w:sz w:val="24"/>
          <w:szCs w:val="24"/>
        </w:rPr>
        <w:t>出现工程量清单错误时，是否调整合同价格：</w:t>
      </w:r>
      <w:r>
        <w:rPr>
          <w:rFonts w:hint="eastAsia" w:ascii="宋体" w:hAnsi="宋体" w:eastAsia="宋体" w:cs="宋体"/>
          <w:b/>
          <w:color w:val="auto"/>
          <w:sz w:val="24"/>
          <w:szCs w:val="24"/>
          <w:u w:val="single"/>
        </w:rPr>
        <w:t>竣工结算的工程量按发承包双方在合同中约定应予计量且实际完成并验收合格的工程量和项目确定，完成发包人要求的合同以外的零星工作或发生非承包人责任事件的工程量按发包人审批通过的签证确定。招标时提供的工程量清单应结合投标人须知、招标文件、合同条款技术标准、规范和要求与施工图纸一起阅读理解，除设计变更外，发包人在工程量清单中因项目特征描述不清或未全，但又是承包人为满足发包人和设计图纸的要求而必须完成的工作，承包人已计入工程量清单相应子目中，工程结算时发包人不为此类项目另外支付费用。</w:t>
      </w:r>
    </w:p>
    <w:p w14:paraId="414D72B8">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允许调整合同价格的工程量偏差范围：</w:t>
      </w:r>
    </w:p>
    <w:p w14:paraId="7F752C28">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①因非承包人原因引起分部分项工程量增减，当工程量清单项目工程量的变化幅度在±15%以内的，结算单价按投标单价。</w:t>
      </w:r>
    </w:p>
    <w:p w14:paraId="597B2D57">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②因非承包人原因引起分部分项工程量变更增减，当工程量清单项目工程量的变化幅度超过15%，且投标单价与</w:t>
      </w:r>
      <w:r>
        <w:rPr>
          <w:rFonts w:hint="eastAsia" w:ascii="宋体" w:hAnsi="宋体" w:cs="宋体"/>
          <w:b/>
          <w:color w:val="auto"/>
          <w:sz w:val="24"/>
          <w:szCs w:val="24"/>
          <w:u w:val="single"/>
          <w:lang w:eastAsia="zh-CN"/>
        </w:rPr>
        <w:t>最高投标限价</w:t>
      </w:r>
      <w:r>
        <w:rPr>
          <w:rFonts w:hint="eastAsia" w:ascii="宋体" w:hAnsi="宋体" w:eastAsia="宋体" w:cs="宋体"/>
          <w:b/>
          <w:color w:val="auto"/>
          <w:sz w:val="24"/>
          <w:szCs w:val="24"/>
          <w:u w:val="single"/>
        </w:rPr>
        <w:t>同比例下浮后的综合单价对比后误差在±15%以内的，结算单价按投标单价。当工程量清单项目工程量的变化幅度超过15%，且投标单价与</w:t>
      </w:r>
      <w:r>
        <w:rPr>
          <w:rFonts w:hint="eastAsia" w:ascii="宋体" w:hAnsi="宋体" w:cs="宋体"/>
          <w:b/>
          <w:color w:val="auto"/>
          <w:sz w:val="24"/>
          <w:szCs w:val="24"/>
          <w:u w:val="single"/>
          <w:lang w:eastAsia="zh-CN"/>
        </w:rPr>
        <w:t>最高投标限价</w:t>
      </w:r>
      <w:r>
        <w:rPr>
          <w:rFonts w:hint="eastAsia" w:ascii="宋体" w:hAnsi="宋体" w:eastAsia="宋体" w:cs="宋体"/>
          <w:b/>
          <w:color w:val="auto"/>
          <w:sz w:val="24"/>
          <w:szCs w:val="24"/>
          <w:u w:val="single"/>
        </w:rPr>
        <w:t>同比例下浮后的综合单价对比后误差在±15%以外的；超过部分工程量（即比合同内工程量增加的部分）的综合单价取原投标单价和</w:t>
      </w:r>
      <w:r>
        <w:rPr>
          <w:rFonts w:hint="eastAsia" w:ascii="宋体" w:hAnsi="宋体" w:cs="宋体"/>
          <w:b/>
          <w:color w:val="auto"/>
          <w:sz w:val="24"/>
          <w:szCs w:val="24"/>
          <w:u w:val="single"/>
          <w:lang w:eastAsia="zh-CN"/>
        </w:rPr>
        <w:t>最高投标限价</w:t>
      </w:r>
      <w:r>
        <w:rPr>
          <w:rFonts w:hint="eastAsia" w:ascii="宋体" w:hAnsi="宋体" w:eastAsia="宋体" w:cs="宋体"/>
          <w:b/>
          <w:color w:val="auto"/>
          <w:sz w:val="24"/>
          <w:szCs w:val="24"/>
          <w:u w:val="single"/>
        </w:rPr>
        <w:t>同比例下浮后的综合单价中的低价；减少部分工程量（即比合同内工程量减少的部分）的综合单价取原投标单价和</w:t>
      </w:r>
      <w:r>
        <w:rPr>
          <w:rFonts w:hint="eastAsia" w:ascii="宋体" w:hAnsi="宋体" w:cs="宋体"/>
          <w:b/>
          <w:color w:val="auto"/>
          <w:sz w:val="24"/>
          <w:szCs w:val="24"/>
          <w:u w:val="single"/>
          <w:lang w:eastAsia="zh-CN"/>
        </w:rPr>
        <w:t>最高投标限价</w:t>
      </w:r>
      <w:r>
        <w:rPr>
          <w:rFonts w:hint="eastAsia" w:ascii="宋体" w:hAnsi="宋体" w:eastAsia="宋体" w:cs="宋体"/>
          <w:b/>
          <w:color w:val="auto"/>
          <w:sz w:val="24"/>
          <w:szCs w:val="24"/>
          <w:u w:val="single"/>
        </w:rPr>
        <w:t>同比例下浮后的综合单价中的高价。</w:t>
      </w:r>
    </w:p>
    <w:p w14:paraId="00B46A09">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③招标工程量清单有错误时，结算单价按上述第②条执行。</w:t>
      </w:r>
    </w:p>
    <w:p w14:paraId="544F0EF4">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fldChar w:fldCharType="begin"/>
      </w:r>
      <w:r>
        <w:rPr>
          <w:rFonts w:hint="eastAsia" w:ascii="宋体" w:hAnsi="宋体" w:eastAsia="宋体" w:cs="宋体"/>
          <w:b/>
          <w:color w:val="auto"/>
          <w:sz w:val="24"/>
          <w:szCs w:val="24"/>
          <w:u w:val="single"/>
        </w:rPr>
        <w:instrText xml:space="preserve"> = 4 \* GB3 </w:instrText>
      </w:r>
      <w:r>
        <w:rPr>
          <w:rFonts w:hint="eastAsia" w:ascii="宋体" w:hAnsi="宋体" w:eastAsia="宋体" w:cs="宋体"/>
          <w:b/>
          <w:color w:val="auto"/>
          <w:sz w:val="24"/>
          <w:szCs w:val="24"/>
          <w:u w:val="single"/>
        </w:rPr>
        <w:fldChar w:fldCharType="separate"/>
      </w:r>
      <w:r>
        <w:rPr>
          <w:rFonts w:hint="eastAsia" w:ascii="宋体" w:hAnsi="宋体" w:eastAsia="宋体" w:cs="宋体"/>
          <w:b/>
          <w:color w:val="auto"/>
          <w:sz w:val="24"/>
          <w:szCs w:val="24"/>
          <w:u w:val="single"/>
        </w:rPr>
        <w:t>④</w:t>
      </w:r>
      <w:r>
        <w:rPr>
          <w:rFonts w:hint="eastAsia" w:ascii="宋体" w:hAnsi="宋体" w:eastAsia="宋体" w:cs="宋体"/>
          <w:b/>
          <w:color w:val="auto"/>
          <w:sz w:val="24"/>
          <w:szCs w:val="24"/>
          <w:u w:val="single"/>
        </w:rPr>
        <w:fldChar w:fldCharType="end"/>
      </w:r>
      <w:r>
        <w:rPr>
          <w:rFonts w:hint="eastAsia" w:ascii="宋体" w:hAnsi="宋体" w:eastAsia="宋体" w:cs="宋体"/>
          <w:b/>
          <w:color w:val="auto"/>
          <w:sz w:val="24"/>
          <w:szCs w:val="24"/>
          <w:u w:val="single"/>
        </w:rPr>
        <w:t>本工程措施项目费一次性包定，承包人报价时已自行考虑可能产生的费用，结算时不再调整，承包人已仔细通读招标文件条款及清单，如有疑义，应在规定的答疑时间内提出，若未提出，视为认可，中标后不得以任何理由提出疑义。</w:t>
      </w:r>
    </w:p>
    <w:p w14:paraId="0E53991A">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⑤发包人提供的工程量清单漏项或缺项，综合单价结算方式：</w:t>
      </w:r>
    </w:p>
    <w:p w14:paraId="55C65625">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合同中已有适用于变更工程的价格，按合同已有的价格变更合同价款；</w:t>
      </w:r>
    </w:p>
    <w:p w14:paraId="6C60C9BC">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合同中只有类似于变更工程的价格，可以参照类似价格变更合同价款；</w:t>
      </w:r>
    </w:p>
    <w:p w14:paraId="6B7A2260">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合同中没有适用或类似于变更的价格，按下述方法调整：由承包人按</w:t>
      </w:r>
      <w:r>
        <w:rPr>
          <w:rFonts w:hint="eastAsia" w:ascii="宋体" w:hAnsi="宋体" w:cs="宋体"/>
          <w:b/>
          <w:color w:val="auto"/>
          <w:sz w:val="24"/>
          <w:szCs w:val="24"/>
          <w:u w:val="single"/>
          <w:lang w:eastAsia="zh-CN"/>
        </w:rPr>
        <w:t>最高投标限价</w:t>
      </w:r>
      <w:r>
        <w:rPr>
          <w:rFonts w:hint="eastAsia" w:ascii="宋体" w:hAnsi="宋体" w:eastAsia="宋体" w:cs="宋体"/>
          <w:b/>
          <w:color w:val="auto"/>
          <w:sz w:val="24"/>
          <w:szCs w:val="24"/>
          <w:u w:val="single"/>
        </w:rPr>
        <w:t>计量规则和计价办法、工程造价管理机构发布的信息价格和承包人报价浮动率提出，报发包人确认后调整。</w:t>
      </w:r>
    </w:p>
    <w:p w14:paraId="02DD5D72">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fldChar w:fldCharType="begin"/>
      </w:r>
      <w:r>
        <w:rPr>
          <w:rFonts w:hint="eastAsia" w:ascii="宋体" w:hAnsi="宋体" w:eastAsia="宋体" w:cs="宋体"/>
          <w:b/>
          <w:color w:val="auto"/>
          <w:sz w:val="24"/>
          <w:szCs w:val="24"/>
          <w:u w:val="single"/>
        </w:rPr>
        <w:instrText xml:space="preserve"> = 6 \* GB3 </w:instrText>
      </w:r>
      <w:r>
        <w:rPr>
          <w:rFonts w:hint="eastAsia" w:ascii="宋体" w:hAnsi="宋体" w:eastAsia="宋体" w:cs="宋体"/>
          <w:b/>
          <w:color w:val="auto"/>
          <w:sz w:val="24"/>
          <w:szCs w:val="24"/>
          <w:u w:val="single"/>
        </w:rPr>
        <w:fldChar w:fldCharType="separate"/>
      </w:r>
      <w:r>
        <w:rPr>
          <w:rFonts w:hint="eastAsia" w:ascii="宋体" w:hAnsi="宋体" w:eastAsia="宋体" w:cs="宋体"/>
          <w:b/>
          <w:color w:val="auto"/>
          <w:sz w:val="24"/>
          <w:szCs w:val="24"/>
          <w:u w:val="single"/>
        </w:rPr>
        <w:t>⑥</w:t>
      </w:r>
      <w:r>
        <w:rPr>
          <w:rFonts w:hint="eastAsia" w:ascii="宋体" w:hAnsi="宋体" w:eastAsia="宋体" w:cs="宋体"/>
          <w:b/>
          <w:color w:val="auto"/>
          <w:sz w:val="24"/>
          <w:szCs w:val="24"/>
          <w:u w:val="single"/>
        </w:rPr>
        <w:fldChar w:fldCharType="end"/>
      </w:r>
      <w:r>
        <w:rPr>
          <w:rFonts w:hint="eastAsia" w:ascii="宋体" w:hAnsi="宋体" w:eastAsia="宋体" w:cs="宋体"/>
          <w:b/>
          <w:color w:val="auto"/>
          <w:sz w:val="24"/>
          <w:szCs w:val="24"/>
          <w:u w:val="single"/>
        </w:rPr>
        <w:t>因承包人原因引起的工程重大变更或分部分项工程量增加，量价一律不调整，由承包人自行承担。</w:t>
      </w:r>
    </w:p>
    <w:p w14:paraId="48C54CC8">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承包人报价浮动率按下列公式计算：</w:t>
      </w:r>
    </w:p>
    <w:p w14:paraId="14BAC59D">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承包人报价浮动率L=（1-中标价/</w:t>
      </w:r>
      <w:r>
        <w:rPr>
          <w:rFonts w:hint="eastAsia" w:ascii="宋体" w:hAnsi="宋体" w:cs="宋体"/>
          <w:b/>
          <w:color w:val="auto"/>
          <w:sz w:val="24"/>
          <w:szCs w:val="24"/>
          <w:u w:val="single"/>
          <w:lang w:eastAsia="zh-CN"/>
        </w:rPr>
        <w:t>最高投标限价</w:t>
      </w:r>
      <w:r>
        <w:rPr>
          <w:rFonts w:hint="eastAsia" w:ascii="宋体" w:hAnsi="宋体" w:eastAsia="宋体" w:cs="宋体"/>
          <w:b/>
          <w:color w:val="auto"/>
          <w:sz w:val="24"/>
          <w:szCs w:val="24"/>
          <w:u w:val="single"/>
        </w:rPr>
        <w:t>）*100%。</w:t>
      </w:r>
    </w:p>
    <w:p w14:paraId="49F0BA53">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上述合同价款调整方法：所有涉及价款调整的项目，均须由承包人提出调整方案及明细报发包人审核通过后方可计入造价，如发包人审核不通过的不得作为结算依据，承包人不得有任何异议。</w:t>
      </w:r>
    </w:p>
    <w:p w14:paraId="29A5D530">
      <w:pPr>
        <w:widowControl/>
        <w:snapToGrid w:val="0"/>
        <w:spacing w:line="44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rPr>
        <w:t>2</w:t>
      </w:r>
      <w:bookmarkStart w:id="84" w:name="_Toc296346658"/>
      <w:bookmarkStart w:id="85" w:name="_Toc296944496"/>
      <w:bookmarkStart w:id="86" w:name="_Toc292559362"/>
      <w:bookmarkStart w:id="87" w:name="_Toc296347156"/>
      <w:bookmarkStart w:id="88" w:name="_Toc296891197"/>
      <w:bookmarkStart w:id="89" w:name="_Toc297120457"/>
      <w:bookmarkStart w:id="90" w:name="_Toc296503157"/>
      <w:bookmarkStart w:id="91" w:name="_Toc296890985"/>
      <w:bookmarkStart w:id="92" w:name="_Toc292559867"/>
      <w:bookmarkStart w:id="93" w:name="_Toc297048343"/>
      <w:r>
        <w:rPr>
          <w:rFonts w:hint="eastAsia" w:ascii="宋体" w:hAnsi="宋体" w:eastAsia="宋体" w:cs="宋体"/>
          <w:b/>
          <w:color w:val="auto"/>
          <w:sz w:val="24"/>
          <w:szCs w:val="24"/>
        </w:rPr>
        <w:t>. 发包人</w:t>
      </w:r>
    </w:p>
    <w:bookmarkEnd w:id="84"/>
    <w:bookmarkEnd w:id="85"/>
    <w:bookmarkEnd w:id="86"/>
    <w:bookmarkEnd w:id="87"/>
    <w:bookmarkEnd w:id="88"/>
    <w:bookmarkEnd w:id="89"/>
    <w:bookmarkEnd w:id="90"/>
    <w:bookmarkEnd w:id="91"/>
    <w:bookmarkEnd w:id="92"/>
    <w:bookmarkEnd w:id="93"/>
    <w:p w14:paraId="55479D66">
      <w:pPr>
        <w:adjustRightInd w:val="0"/>
        <w:snapToGrid w:val="0"/>
        <w:spacing w:line="440" w:lineRule="exact"/>
        <w:ind w:firstLine="480" w:firstLineChars="200"/>
        <w:outlineLvl w:val="0"/>
        <w:rPr>
          <w:rFonts w:hint="eastAsia" w:ascii="宋体" w:hAnsi="宋体" w:eastAsia="宋体" w:cs="宋体"/>
          <w:b/>
          <w:color w:val="auto"/>
          <w:sz w:val="24"/>
          <w:szCs w:val="24"/>
          <w:u w:val="single"/>
        </w:rPr>
      </w:pPr>
      <w:r>
        <w:rPr>
          <w:rFonts w:hint="eastAsia" w:ascii="宋体" w:hAnsi="宋体" w:eastAsia="宋体" w:cs="宋体"/>
          <w:color w:val="auto"/>
          <w:sz w:val="24"/>
          <w:szCs w:val="24"/>
        </w:rPr>
        <w:t>2.2 发包人代表</w:t>
      </w:r>
    </w:p>
    <w:p w14:paraId="54364D19">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发包人代表：</w:t>
      </w:r>
    </w:p>
    <w:p w14:paraId="757532C1">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姓    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38932ADE">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身份证号：</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0D6B7B83">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职    务：</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163BF912">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联系电话：</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547884E1">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电子信箱：</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1EF0DE6B">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通信地址：</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12A271DD">
      <w:pPr>
        <w:spacing w:line="440" w:lineRule="exact"/>
        <w:ind w:firstLine="480" w:firstLineChars="200"/>
        <w:rPr>
          <w:rFonts w:hint="eastAsia" w:ascii="宋体" w:hAnsi="宋体" w:eastAsia="宋体" w:cs="宋体"/>
          <w:b/>
          <w:color w:val="auto"/>
          <w:sz w:val="24"/>
          <w:szCs w:val="24"/>
          <w:u w:val="single"/>
        </w:rPr>
      </w:pPr>
      <w:r>
        <w:rPr>
          <w:rFonts w:hint="eastAsia" w:ascii="宋体" w:hAnsi="宋体" w:eastAsia="宋体" w:cs="宋体"/>
          <w:color w:val="auto"/>
          <w:sz w:val="24"/>
          <w:szCs w:val="24"/>
        </w:rPr>
        <w:t>发包人对发包人代表的授权范围如下：</w:t>
      </w:r>
      <w:r>
        <w:rPr>
          <w:rFonts w:hint="eastAsia" w:ascii="宋体" w:hAnsi="宋体" w:eastAsia="宋体" w:cs="宋体"/>
          <w:b/>
          <w:color w:val="auto"/>
          <w:sz w:val="24"/>
          <w:szCs w:val="24"/>
          <w:u w:val="single"/>
        </w:rPr>
        <w:t>代表发包人行使发包人的权力和监理人需要取得发包人批准的权力。</w:t>
      </w:r>
    </w:p>
    <w:p w14:paraId="5E7A487D">
      <w:pPr>
        <w:adjustRightInd w:val="0"/>
        <w:snapToGrid w:val="0"/>
        <w:spacing w:line="44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2.4 施工现场、施工条件和基础资料的提供</w:t>
      </w:r>
    </w:p>
    <w:p w14:paraId="6EE7C3E9">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2.4.1 提供施工现场</w:t>
      </w:r>
    </w:p>
    <w:p w14:paraId="4DCD2279">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关于发包人移交施工现场的期限要求：</w:t>
      </w:r>
      <w:r>
        <w:rPr>
          <w:rFonts w:hint="eastAsia" w:ascii="宋体" w:hAnsi="宋体" w:eastAsia="宋体" w:cs="宋体"/>
          <w:b/>
          <w:color w:val="auto"/>
          <w:sz w:val="24"/>
          <w:szCs w:val="24"/>
          <w:u w:val="single"/>
        </w:rPr>
        <w:t>以施工现场的现状为准。</w:t>
      </w:r>
    </w:p>
    <w:p w14:paraId="6BA94CE5">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2.4.2 提供施工条件</w:t>
      </w:r>
    </w:p>
    <w:p w14:paraId="5B156455">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关于发包人应负责提供施工所需要的条件，包括：</w:t>
      </w:r>
    </w:p>
    <w:p w14:paraId="4F75499C">
      <w:pPr>
        <w:spacing w:line="440" w:lineRule="exact"/>
        <w:ind w:firstLine="480" w:firstLineChars="200"/>
        <w:rPr>
          <w:rFonts w:hint="eastAsia" w:ascii="宋体" w:hAnsi="宋体" w:eastAsia="宋体" w:cs="宋体"/>
          <w:b/>
          <w:color w:val="auto"/>
          <w:sz w:val="24"/>
          <w:szCs w:val="24"/>
          <w:u w:val="single"/>
        </w:rPr>
      </w:pPr>
      <w:r>
        <w:rPr>
          <w:rFonts w:hint="eastAsia" w:ascii="宋体" w:hAnsi="宋体" w:eastAsia="宋体" w:cs="宋体"/>
          <w:color w:val="auto"/>
          <w:sz w:val="24"/>
          <w:szCs w:val="24"/>
        </w:rPr>
        <w:t>2.4.2.1</w:t>
      </w:r>
      <w:r>
        <w:rPr>
          <w:rFonts w:hint="eastAsia" w:ascii="宋体" w:hAnsi="宋体" w:eastAsia="宋体" w:cs="宋体"/>
          <w:b/>
          <w:color w:val="auto"/>
          <w:sz w:val="24"/>
          <w:szCs w:val="24"/>
          <w:u w:val="single"/>
        </w:rPr>
        <w:t>发包人于开工前办理好施工所需证件、批件（承包人自身资质证件除外）。施工过程中承包人不得因发包人前期手续延误而出现不进行施工准备、索赔、消极施工等情形，应积极配合，保证工程按计划进行，否则按违约处理。</w:t>
      </w:r>
    </w:p>
    <w:p w14:paraId="6930FCCA">
      <w:pPr>
        <w:autoSpaceDE w:val="0"/>
        <w:autoSpaceDN w:val="0"/>
        <w:adjustRightInd w:val="0"/>
        <w:spacing w:line="440" w:lineRule="exact"/>
        <w:ind w:firstLine="480" w:firstLineChars="200"/>
        <w:rPr>
          <w:rFonts w:hint="eastAsia" w:ascii="宋体" w:hAnsi="宋体" w:eastAsia="宋体" w:cs="宋体"/>
          <w:b/>
          <w:bCs/>
          <w:color w:val="auto"/>
          <w:sz w:val="24"/>
          <w:szCs w:val="24"/>
          <w:u w:val="single"/>
        </w:rPr>
      </w:pPr>
      <w:r>
        <w:rPr>
          <w:rFonts w:hint="eastAsia" w:ascii="宋体" w:hAnsi="宋体" w:eastAsia="宋体" w:cs="宋体"/>
          <w:color w:val="auto"/>
          <w:sz w:val="24"/>
          <w:szCs w:val="24"/>
          <w:lang w:val="zh-CN"/>
        </w:rPr>
        <w:t xml:space="preserve">2.4.2.2 </w:t>
      </w:r>
      <w:r>
        <w:rPr>
          <w:rFonts w:hint="eastAsia" w:ascii="宋体" w:hAnsi="宋体" w:eastAsia="宋体" w:cs="宋体"/>
          <w:b/>
          <w:color w:val="auto"/>
          <w:sz w:val="24"/>
          <w:szCs w:val="24"/>
          <w:u w:val="single"/>
        </w:rPr>
        <w:t>水准点与座标控制点交验要求：开工前提供水准点和坐标控制点，按施工图由发包人、承包人、监理人现场交验，承包人应负责对水准点和坐标控制点进行核对校验。</w:t>
      </w:r>
    </w:p>
    <w:p w14:paraId="4AA25035">
      <w:pPr>
        <w:autoSpaceDE w:val="0"/>
        <w:autoSpaceDN w:val="0"/>
        <w:adjustRightInd w:val="0"/>
        <w:spacing w:line="440" w:lineRule="exact"/>
        <w:ind w:firstLine="480" w:firstLineChars="200"/>
        <w:rPr>
          <w:rFonts w:hint="eastAsia" w:ascii="宋体" w:hAnsi="宋体" w:eastAsia="宋体" w:cs="宋体"/>
          <w:b/>
          <w:bCs/>
          <w:color w:val="auto"/>
          <w:sz w:val="24"/>
          <w:szCs w:val="24"/>
          <w:u w:val="single"/>
        </w:rPr>
      </w:pPr>
      <w:r>
        <w:rPr>
          <w:rFonts w:hint="eastAsia" w:ascii="宋体" w:hAnsi="宋体" w:eastAsia="宋体" w:cs="宋体"/>
          <w:color w:val="auto"/>
          <w:sz w:val="24"/>
          <w:szCs w:val="24"/>
          <w:lang w:val="zh-CN"/>
        </w:rPr>
        <w:t>2.4.2.3</w:t>
      </w:r>
      <w:r>
        <w:rPr>
          <w:rFonts w:hint="eastAsia" w:ascii="宋体" w:hAnsi="宋体" w:eastAsia="宋体" w:cs="宋体"/>
          <w:b/>
          <w:bCs/>
          <w:color w:val="auto"/>
          <w:sz w:val="24"/>
          <w:szCs w:val="24"/>
          <w:u w:val="single"/>
        </w:rPr>
        <w:t xml:space="preserve"> </w:t>
      </w:r>
      <w:r>
        <w:rPr>
          <w:rFonts w:hint="eastAsia" w:ascii="宋体" w:hAnsi="宋体" w:eastAsia="宋体" w:cs="宋体"/>
          <w:b/>
          <w:color w:val="auto"/>
          <w:sz w:val="24"/>
          <w:szCs w:val="24"/>
          <w:u w:val="single"/>
        </w:rPr>
        <w:t>图纸会审和设计交底时间：开工前完成。</w:t>
      </w:r>
    </w:p>
    <w:p w14:paraId="7276CBA4">
      <w:pPr>
        <w:autoSpaceDE w:val="0"/>
        <w:autoSpaceDN w:val="0"/>
        <w:adjustRightInd w:val="0"/>
        <w:spacing w:line="440" w:lineRule="exact"/>
        <w:ind w:firstLine="480" w:firstLineChars="200"/>
        <w:rPr>
          <w:rFonts w:hint="eastAsia" w:ascii="宋体" w:hAnsi="宋体" w:cs="宋体"/>
          <w:b/>
          <w:color w:val="auto"/>
          <w:sz w:val="24"/>
          <w:szCs w:val="24"/>
          <w:highlight w:val="yellow"/>
          <w:u w:val="single"/>
          <w:lang w:eastAsia="zh-CN"/>
        </w:rPr>
      </w:pPr>
      <w:r>
        <w:rPr>
          <w:rFonts w:hint="eastAsia" w:ascii="宋体" w:hAnsi="宋体" w:eastAsia="宋体" w:cs="宋体"/>
          <w:color w:val="auto"/>
          <w:sz w:val="24"/>
          <w:szCs w:val="24"/>
          <w:lang w:val="zh-CN"/>
        </w:rPr>
        <w:t>2.4.2.4</w:t>
      </w:r>
      <w:r>
        <w:rPr>
          <w:rFonts w:hint="eastAsia" w:ascii="宋体" w:hAnsi="宋体" w:eastAsia="宋体" w:cs="宋体"/>
          <w:b/>
          <w:bCs/>
          <w:color w:val="auto"/>
          <w:sz w:val="24"/>
          <w:szCs w:val="24"/>
          <w:u w:val="single"/>
        </w:rPr>
        <w:t xml:space="preserve"> </w:t>
      </w:r>
      <w:r>
        <w:rPr>
          <w:rFonts w:hint="eastAsia" w:ascii="宋体" w:hAnsi="宋体" w:eastAsia="宋体" w:cs="宋体"/>
          <w:b/>
          <w:color w:val="auto"/>
          <w:sz w:val="24"/>
          <w:szCs w:val="24"/>
          <w:u w:val="single"/>
        </w:rPr>
        <w:t>协调处理施工场地周围地下管线和邻近建筑物、构筑物（含文物保护建筑）、古树名木的保护工作：现场或有关资料上已明确的地下管线和邻近建筑物、构筑物（含文物保护建筑）、古树名木由承包人负责保护</w:t>
      </w:r>
      <w:r>
        <w:rPr>
          <w:rFonts w:hint="eastAsia" w:ascii="宋体" w:hAnsi="宋体" w:cs="宋体"/>
          <w:b/>
          <w:color w:val="auto"/>
          <w:sz w:val="24"/>
          <w:szCs w:val="24"/>
          <w:u w:val="single"/>
          <w:lang w:eastAsia="zh-CN"/>
        </w:rPr>
        <w:t>。</w:t>
      </w:r>
    </w:p>
    <w:p w14:paraId="14BA014D">
      <w:pPr>
        <w:autoSpaceDE w:val="0"/>
        <w:autoSpaceDN w:val="0"/>
        <w:adjustRightInd w:val="0"/>
        <w:spacing w:line="440" w:lineRule="exact"/>
        <w:ind w:firstLine="480" w:firstLineChars="200"/>
        <w:rPr>
          <w:rFonts w:hint="eastAsia" w:ascii="宋体" w:hAnsi="宋体" w:eastAsia="宋体" w:cs="宋体"/>
          <w:b/>
          <w:color w:val="auto"/>
          <w:sz w:val="24"/>
          <w:szCs w:val="24"/>
          <w:u w:val="single"/>
        </w:rPr>
      </w:pPr>
      <w:r>
        <w:rPr>
          <w:rFonts w:hint="eastAsia" w:ascii="宋体" w:hAnsi="宋体" w:eastAsia="宋体" w:cs="宋体"/>
          <w:color w:val="auto"/>
          <w:sz w:val="24"/>
          <w:szCs w:val="24"/>
          <w:lang w:val="zh-CN"/>
        </w:rPr>
        <w:t>2.4.2.5</w:t>
      </w:r>
      <w:r>
        <w:rPr>
          <w:rFonts w:hint="eastAsia" w:ascii="宋体" w:hAnsi="宋体" w:eastAsia="宋体" w:cs="宋体"/>
          <w:b/>
          <w:bCs/>
          <w:color w:val="auto"/>
          <w:sz w:val="24"/>
          <w:szCs w:val="24"/>
          <w:u w:val="single"/>
        </w:rPr>
        <w:t xml:space="preserve"> </w:t>
      </w:r>
      <w:r>
        <w:rPr>
          <w:rFonts w:hint="eastAsia" w:ascii="宋体" w:hAnsi="宋体" w:eastAsia="宋体" w:cs="宋体"/>
          <w:b/>
          <w:color w:val="auto"/>
          <w:sz w:val="24"/>
          <w:szCs w:val="24"/>
          <w:u w:val="single"/>
        </w:rPr>
        <w:t>双方约定发包人应做的其他工作：施工过程中具体协商。</w:t>
      </w:r>
    </w:p>
    <w:p w14:paraId="653DC0E8">
      <w:pPr>
        <w:adjustRightInd w:val="0"/>
        <w:snapToGrid w:val="0"/>
        <w:spacing w:line="44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2.5 资金来源证明及支付担保</w:t>
      </w:r>
    </w:p>
    <w:p w14:paraId="74058626">
      <w:pPr>
        <w:spacing w:line="440" w:lineRule="exact"/>
        <w:ind w:firstLine="480" w:firstLineChars="200"/>
        <w:rPr>
          <w:rFonts w:hint="eastAsia" w:ascii="宋体" w:hAnsi="宋体" w:eastAsia="宋体" w:cs="宋体"/>
          <w:color w:val="auto"/>
          <w:sz w:val="24"/>
          <w:szCs w:val="24"/>
        </w:rPr>
      </w:pPr>
      <w:bookmarkStart w:id="94" w:name="_Toc351203635"/>
      <w:r>
        <w:rPr>
          <w:rFonts w:hint="eastAsia" w:ascii="宋体" w:hAnsi="宋体" w:eastAsia="宋体" w:cs="宋体"/>
          <w:color w:val="auto"/>
          <w:sz w:val="24"/>
          <w:szCs w:val="24"/>
        </w:rPr>
        <w:t>发包人提供资金来源证明的期限要求：</w:t>
      </w:r>
      <w:r>
        <w:rPr>
          <w:rFonts w:hint="eastAsia" w:ascii="宋体" w:hAnsi="宋体" w:eastAsia="宋体" w:cs="宋体"/>
          <w:b/>
          <w:color w:val="auto"/>
          <w:sz w:val="24"/>
          <w:szCs w:val="24"/>
          <w:u w:val="single"/>
        </w:rPr>
        <w:t>不需提供</w:t>
      </w:r>
      <w:r>
        <w:rPr>
          <w:rFonts w:hint="eastAsia" w:ascii="宋体" w:hAnsi="宋体" w:eastAsia="宋体" w:cs="宋体"/>
          <w:color w:val="auto"/>
          <w:sz w:val="24"/>
          <w:szCs w:val="24"/>
        </w:rPr>
        <w:t>。</w:t>
      </w:r>
    </w:p>
    <w:p w14:paraId="554C2FE9">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发包人是否提供支付担保：</w:t>
      </w:r>
      <w:r>
        <w:rPr>
          <w:rFonts w:hint="eastAsia" w:ascii="宋体" w:hAnsi="宋体" w:eastAsia="宋体" w:cs="宋体"/>
          <w:b/>
          <w:color w:val="auto"/>
          <w:sz w:val="24"/>
          <w:szCs w:val="24"/>
          <w:u w:val="single"/>
        </w:rPr>
        <w:t>不提供</w:t>
      </w:r>
      <w:r>
        <w:rPr>
          <w:rFonts w:hint="eastAsia" w:ascii="宋体" w:hAnsi="宋体" w:eastAsia="宋体" w:cs="宋体"/>
          <w:color w:val="auto"/>
          <w:sz w:val="24"/>
          <w:szCs w:val="24"/>
        </w:rPr>
        <w:t>。</w:t>
      </w:r>
    </w:p>
    <w:p w14:paraId="01AE6CD6">
      <w:pPr>
        <w:spacing w:line="440" w:lineRule="exact"/>
        <w:ind w:firstLine="480" w:firstLineChars="200"/>
        <w:rPr>
          <w:rFonts w:hint="eastAsia" w:ascii="宋体" w:hAnsi="宋体" w:eastAsia="宋体" w:cs="宋体"/>
          <w:color w:val="auto"/>
          <w:sz w:val="24"/>
          <w:szCs w:val="24"/>
          <w:u w:val="single"/>
        </w:rPr>
      </w:pPr>
      <w:r>
        <w:rPr>
          <w:rFonts w:hint="eastAsia" w:ascii="宋体" w:hAnsi="宋体" w:eastAsia="宋体" w:cs="宋体"/>
          <w:color w:val="auto"/>
          <w:sz w:val="24"/>
          <w:szCs w:val="24"/>
        </w:rPr>
        <w:t>发包人提供支付担保的形式：</w:t>
      </w:r>
      <w:r>
        <w:rPr>
          <w:rFonts w:hint="eastAsia" w:ascii="宋体" w:hAnsi="宋体" w:eastAsia="宋体" w:cs="宋体"/>
          <w:b/>
          <w:color w:val="auto"/>
          <w:sz w:val="24"/>
          <w:szCs w:val="24"/>
          <w:u w:val="single"/>
        </w:rPr>
        <w:t xml:space="preserve"> / </w:t>
      </w:r>
      <w:r>
        <w:rPr>
          <w:rFonts w:hint="eastAsia" w:ascii="宋体" w:hAnsi="宋体" w:eastAsia="宋体" w:cs="宋体"/>
          <w:color w:val="auto"/>
          <w:sz w:val="24"/>
          <w:szCs w:val="24"/>
        </w:rPr>
        <w:t>。</w:t>
      </w:r>
    </w:p>
    <w:p w14:paraId="2ADBD621">
      <w:pPr>
        <w:widowControl/>
        <w:snapToGrid w:val="0"/>
        <w:spacing w:line="44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rPr>
        <w:t>3</w:t>
      </w:r>
      <w:bookmarkStart w:id="95" w:name="_Toc292559363"/>
      <w:bookmarkStart w:id="96" w:name="_Toc296891198"/>
      <w:bookmarkStart w:id="97" w:name="_Toc297048344"/>
      <w:bookmarkStart w:id="98" w:name="_Toc296944497"/>
      <w:bookmarkStart w:id="99" w:name="_Toc296503158"/>
      <w:bookmarkStart w:id="100" w:name="_Toc292559868"/>
      <w:bookmarkStart w:id="101" w:name="_Toc296890986"/>
      <w:bookmarkStart w:id="102" w:name="_Toc296347157"/>
      <w:bookmarkStart w:id="103" w:name="_Toc297120458"/>
      <w:bookmarkStart w:id="104" w:name="_Toc296346659"/>
      <w:r>
        <w:rPr>
          <w:rFonts w:hint="eastAsia" w:ascii="宋体" w:hAnsi="宋体" w:eastAsia="宋体" w:cs="宋体"/>
          <w:b/>
          <w:color w:val="auto"/>
          <w:sz w:val="24"/>
          <w:szCs w:val="24"/>
        </w:rPr>
        <w:t>. 承包人</w:t>
      </w:r>
      <w:bookmarkEnd w:id="94"/>
    </w:p>
    <w:bookmarkEnd w:id="95"/>
    <w:bookmarkEnd w:id="96"/>
    <w:bookmarkEnd w:id="97"/>
    <w:bookmarkEnd w:id="98"/>
    <w:bookmarkEnd w:id="99"/>
    <w:bookmarkEnd w:id="100"/>
    <w:bookmarkEnd w:id="101"/>
    <w:bookmarkEnd w:id="102"/>
    <w:bookmarkEnd w:id="103"/>
    <w:bookmarkEnd w:id="104"/>
    <w:p w14:paraId="174C4381">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3.1 承包人的一般义务</w:t>
      </w:r>
    </w:p>
    <w:p w14:paraId="0383D7C1">
      <w:pPr>
        <w:spacing w:line="440" w:lineRule="exact"/>
        <w:ind w:firstLine="480" w:firstLineChars="200"/>
        <w:rPr>
          <w:rFonts w:hint="eastAsia" w:ascii="宋体" w:hAnsi="宋体" w:eastAsia="宋体" w:cs="宋体"/>
          <w:b/>
          <w:color w:val="auto"/>
          <w:sz w:val="24"/>
          <w:szCs w:val="24"/>
          <w:u w:val="single"/>
        </w:rPr>
      </w:pPr>
      <w:r>
        <w:rPr>
          <w:rFonts w:hint="eastAsia" w:ascii="宋体" w:hAnsi="宋体" w:eastAsia="宋体" w:cs="宋体"/>
          <w:color w:val="auto"/>
          <w:sz w:val="24"/>
          <w:szCs w:val="24"/>
        </w:rPr>
        <w:t>（1）承包人提交的竣工资料的内容</w:t>
      </w:r>
      <w:r>
        <w:rPr>
          <w:rFonts w:hint="eastAsia" w:ascii="宋体" w:hAnsi="宋体" w:eastAsia="宋体" w:cs="宋体"/>
          <w:color w:val="auto"/>
          <w:sz w:val="24"/>
          <w:szCs w:val="24"/>
          <w:lang w:val="zh-CN"/>
        </w:rPr>
        <w:t>：</w:t>
      </w:r>
      <w:r>
        <w:rPr>
          <w:rFonts w:hint="eastAsia" w:ascii="宋体" w:hAnsi="宋体" w:eastAsia="宋体" w:cs="宋体"/>
          <w:b/>
          <w:color w:val="auto"/>
          <w:sz w:val="24"/>
          <w:szCs w:val="24"/>
          <w:u w:val="single"/>
        </w:rPr>
        <w:t>工程竣工验收后一个月内，承包人应按《建设工程文件归档整理规范》（GB/T50328-2014）的要求，向发包人提供叁套完整并经中创区档案馆验收通过的符合要求的竣工资料（包括竣工图和竣工结算资料）和工程竣工报告等，并提供一套电子版竣工图，工程竣工报告应经过总监理工程师审核认可，逾期提交的，每逾期一天扣除工程款1000元。</w:t>
      </w:r>
    </w:p>
    <w:p w14:paraId="7B6E9003">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承包人需要提交的竣工资料套数：</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叁套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7ECAFF6A">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承包人提交的竣工资料的费用承担：</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由承包人承担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6556D50A">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承包人提交的竣工资料移交时间：</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在工程竣工验收后一个月内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5A826A0E">
      <w:pPr>
        <w:spacing w:line="440" w:lineRule="exact"/>
        <w:ind w:firstLine="480" w:firstLineChars="200"/>
        <w:rPr>
          <w:rFonts w:hint="eastAsia" w:ascii="宋体" w:hAnsi="宋体" w:eastAsia="宋体" w:cs="宋体"/>
          <w:b/>
          <w:color w:val="auto"/>
          <w:sz w:val="24"/>
          <w:szCs w:val="24"/>
          <w:u w:val="single"/>
        </w:rPr>
      </w:pPr>
      <w:r>
        <w:rPr>
          <w:rFonts w:hint="eastAsia" w:ascii="宋体" w:hAnsi="宋体" w:eastAsia="宋体" w:cs="宋体"/>
          <w:color w:val="auto"/>
          <w:sz w:val="24"/>
          <w:szCs w:val="24"/>
        </w:rPr>
        <w:t>承包人提交的竣工资料形式要求：</w:t>
      </w:r>
      <w:r>
        <w:rPr>
          <w:rFonts w:hint="eastAsia" w:ascii="宋体" w:hAnsi="宋体" w:eastAsia="宋体" w:cs="宋体"/>
          <w:b/>
          <w:color w:val="auto"/>
          <w:sz w:val="24"/>
          <w:szCs w:val="24"/>
          <w:u w:val="single"/>
        </w:rPr>
        <w:t>承包人提供的竣工图必须与实际相符合，否则由此对发包人造成的所有损失由承包人承担。承包人提供的竣工图和资料必须经中创区档案馆验收合格。</w:t>
      </w:r>
    </w:p>
    <w:p w14:paraId="586A9D00">
      <w:pPr>
        <w:spacing w:line="440" w:lineRule="exact"/>
        <w:ind w:firstLine="480" w:firstLineChars="200"/>
        <w:rPr>
          <w:rFonts w:hint="eastAsia" w:ascii="宋体" w:hAnsi="宋体" w:eastAsia="宋体" w:cs="宋体"/>
          <w:color w:val="auto"/>
          <w:sz w:val="24"/>
          <w:szCs w:val="24"/>
          <w:u w:val="single"/>
        </w:rPr>
      </w:pPr>
      <w:r>
        <w:rPr>
          <w:rFonts w:hint="eastAsia" w:ascii="宋体" w:hAnsi="宋体" w:eastAsia="宋体" w:cs="宋体"/>
          <w:color w:val="auto"/>
          <w:sz w:val="24"/>
          <w:szCs w:val="24"/>
        </w:rPr>
        <w:t>（2）承包人应履行的其他义务：</w:t>
      </w:r>
    </w:p>
    <w:p w14:paraId="22D282C0">
      <w:pPr>
        <w:autoSpaceDE w:val="0"/>
        <w:autoSpaceDN w:val="0"/>
        <w:adjustRightInd w:val="0"/>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1、发包人对合同范围外的工程变更，承包人须接受并予以施工，所发生的费用经发包人核实后纳入工程结算。如承包人拒不执行发包人指令或工程变更，发包人有权另选施工单位，承包人的机械须无条件免费优先配合，免费使用承包人现场已有的任何材料，同时承包人须向发包人支付该变更项目费用20%的违约金。</w:t>
      </w:r>
    </w:p>
    <w:p w14:paraId="1265F7CA">
      <w:pPr>
        <w:autoSpaceDE w:val="0"/>
        <w:autoSpaceDN w:val="0"/>
        <w:adjustRightInd w:val="0"/>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2、 施工过程中，如有不在承包人范围内，发包人另行发包的，承包人按发包人要求提供用水、用电、出入通道、必要的存放处及工作面，配合分包人施工, 临时用水电的接入由承包人负责提供。</w:t>
      </w:r>
    </w:p>
    <w:p w14:paraId="50439966">
      <w:pPr>
        <w:autoSpaceDE w:val="0"/>
        <w:autoSpaceDN w:val="0"/>
        <w:adjustRightInd w:val="0"/>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3、承包人在竣工验收合格后7天内须拆除现场所有临时设施，包括所有的机械设备、材料、建筑垃圾全部清运出现场，清理标准应征得发包人认可。否则若发生相关费用由发包人在工程竣工结算价款中扣除，并且承包人按2000元/天向发包人支付违约金。</w:t>
      </w:r>
    </w:p>
    <w:p w14:paraId="563A6700">
      <w:pPr>
        <w:autoSpaceDE w:val="0"/>
        <w:autoSpaceDN w:val="0"/>
        <w:adjustRightInd w:val="0"/>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4、临时停水、停电、二次搬运、成品保护等所需措施的一切费用和工期承包人已充分考虑，并已考虑了各种可能因素影响施工所增加的费用，因此，发生上述情况，发包人不另行增加费用。</w:t>
      </w:r>
    </w:p>
    <w:p w14:paraId="2BAC7FB7">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5、施工过程中涉及施工场地交通、排污、环卫环保、市容、城建城管、消防、治安、人口管理、居委会、派出所等相关部门收取的费用及相关手续，对临近居民、行人的影响等，夜间文明施工、保护周边地下管线和架空线的安全的费用等已含在合同价中，由承包人负责协调处理，竣工结算时一律不作调整。</w:t>
      </w:r>
    </w:p>
    <w:p w14:paraId="4F16BD8F">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6、施工场地清洁卫生的要求：按星级标准化工地施工现场要求办理，费用由承包人承担。若承包人现场施工作业面、办公区、生活区内清洁卫生满足不了文明施工要求，发包人有权安排其它单位或个人打扫，具体发生的费用从进度款中扣除。临设布置应满足星级标准化工地的要求。</w:t>
      </w:r>
    </w:p>
    <w:p w14:paraId="5A42B157">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7、已完工程成品保护的特殊要求及费用承担：已完成工程成品在正式移交发包人前，由承包人负责保护，其费用由承包人承担。</w:t>
      </w:r>
    </w:p>
    <w:p w14:paraId="18731D4E">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 xml:space="preserve">8、应提供计划、报表的名称及完成时间：进场后一周内提供材料计划、详细的施工进度计划、承包人购材料清单、材料进场计划、劳动力及用款计划等资料。分项的施工组织设计在开工前向发包人提供。每月25日前分别向发包人及监理方提供已完工程量报表（含工程量变更及签证预算）及下月详细的施工进度计划、发包人供材料清单、承包人购材料清单、材料进场计划、劳动力及用款计划等资料。甲供材料须在开工提前15天内提供计划，否则，引起的工期延误责任完全由承包人承担。 </w:t>
      </w:r>
    </w:p>
    <w:p w14:paraId="039A3C99">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9、承担施工安全保卫工作及非夜间施工照明的责任和要求：①承包人应按建设行政管理部门和相关部门的要求，在施工场地设置安全施工、防火宣传标牌、标语以及设施，组织专门的保卫和值班人员，坚持昼夜巡视、检查。②承包人在进场前要制订对人员、机械设备的操作及安全用电等各方面的安全制度，增强全体施工人员的安全意识，落实安全责任，保证做到绝对安全。③承包人应承担施工安全保卫工作及非夜间施工照明的所有责任，并承担费用。④承包人应在现场布置发包人指定和他做单位安装的摄像系统，具体布置方法应报方案，经监理、发包人审批后，按照审批方案执行，费用由承包人承担。如承包人不能按发包人要求布置监控设备，发包人可另行发包，费用按照实际发生费用的双倍直接从履约保证金中扣除。⑤承包人应在工地设置交通警示灯及各种提醒、警示标志。</w:t>
      </w:r>
    </w:p>
    <w:p w14:paraId="709E8A13">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10、发包人</w:t>
      </w:r>
      <w:r>
        <w:rPr>
          <w:rFonts w:hint="eastAsia" w:ascii="宋体" w:hAnsi="宋体" w:eastAsia="宋体" w:cs="宋体"/>
          <w:b/>
          <w:color w:val="auto"/>
          <w:sz w:val="24"/>
          <w:szCs w:val="24"/>
          <w:u w:val="single"/>
          <w:lang w:val="en-US" w:eastAsia="zh-CN"/>
        </w:rPr>
        <w:t>只提供生活用水和用电，相关费用由承包人自行承担。</w:t>
      </w:r>
    </w:p>
    <w:p w14:paraId="2FFB6DA6">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11、双方约定承包人应做的其他工作：承包人在工程竣工验收后或因承包人违约行为导致本合同解除后七日内拆除现场所有临时设施（含塔吊基础），并将所有的机械设备、材料及建筑垃圾全部清理、运出现场，并将场地平整好；清理范围和标准应征得发包人认可；否则，如发生相关费用由发包人在工程竣工结算价款中扣除。</w:t>
      </w:r>
    </w:p>
    <w:p w14:paraId="5D93A708">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 xml:space="preserve">12、承包人采购材料设备 </w:t>
      </w:r>
    </w:p>
    <w:p w14:paraId="35CE1D6D">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承包人采购材料设备的约定：本工程主要材料，承包人应按招标文件规定、设计文件、施工验收规范要求进行采购与保管，其中：</w:t>
      </w:r>
    </w:p>
    <w:p w14:paraId="15BFF4ED">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一）凡是工程量清单中暂定单价的材料设备，承包人在采购前须将材料设备的品种、规格、质量、价格、样品报发包人，经发包人书面确认后由发包人编制招标文件，承包人必须无条件按照发包人编制的招标文件进行招标采购；否则，由发包人组织公开采购，并发包人对承包人处以采购价的</w:t>
      </w:r>
      <w:bookmarkStart w:id="542" w:name="_GoBack"/>
      <w:r>
        <w:rPr>
          <w:rFonts w:hint="eastAsia" w:ascii="宋体" w:hAnsi="宋体" w:eastAsia="宋体" w:cs="宋体"/>
          <w:b/>
          <w:color w:val="auto"/>
          <w:sz w:val="24"/>
          <w:szCs w:val="24"/>
          <w:highlight w:val="none"/>
          <w:u w:val="single"/>
        </w:rPr>
        <w:t>5%</w:t>
      </w:r>
      <w:bookmarkEnd w:id="542"/>
      <w:r>
        <w:rPr>
          <w:rFonts w:hint="eastAsia" w:ascii="宋体" w:hAnsi="宋体" w:eastAsia="宋体" w:cs="宋体"/>
          <w:b/>
          <w:color w:val="auto"/>
          <w:sz w:val="24"/>
          <w:szCs w:val="24"/>
          <w:u w:val="single"/>
        </w:rPr>
        <w:t>罚款。</w:t>
      </w:r>
    </w:p>
    <w:p w14:paraId="709B53A1">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（二）凡是工程量清单中提供参考品牌的材料设备，承包人必须按照招标文件规定之一品牌进行采购，但采购前应将拟用品牌型号的书面材料报告及样品报送发包人批准。</w:t>
      </w:r>
    </w:p>
    <w:p w14:paraId="515E9F04">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（三）承包人自行采购材料，应考虑使用国产中档以上且符合国家标准的合格产品，但采购前应将拟用品牌型号的书面材料报告及样品报送发包人批准。</w:t>
      </w:r>
    </w:p>
    <w:p w14:paraId="0DB4E2EE">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（四）主要材料设备进场时要有质保书或出厂合格证，并已进行有关必要的检验或试验；主要材料设备进场后须通知发包人及监理工程师验收并经书面批准后方可使用。</w:t>
      </w:r>
    </w:p>
    <w:p w14:paraId="117485EC">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五）本工程严禁使用不合格或不符合设计或招标要求的材料或设备（以下材料均包含设备），一经发现，限期退场，不按要求退场的，造成的损失由承包人负责。使用不符合标准、规格、质量、品牌及技术要求（包括发包人供应材料由于承包人验收把关不严）的工程材料承包人无条件更换和返工，并按照不符合要求的材料购进总额的30%向发包人支付违约金。如购进的材料设备与发包人确认的样品不一致时，由承包人无条件退货，造成的损失由承包人负责，并按照不符合要求的材料购进总额的10%向发包人支付违约金。</w:t>
      </w:r>
    </w:p>
    <w:p w14:paraId="482192DA">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若承包人不按上述所述采购材料，则由此所引起的一切责任与后果均由承包人承担。</w:t>
      </w:r>
    </w:p>
    <w:p w14:paraId="2BA893B4">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3.2 项目经理</w:t>
      </w:r>
    </w:p>
    <w:p w14:paraId="58AB2EB1">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3.2.1 项目经理：</w:t>
      </w:r>
    </w:p>
    <w:p w14:paraId="17A9D03F">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姓    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3EB7B763">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身份证号：</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01D18DFF">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建造师执业资格等级：</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45C4F878">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建造师注册证书号：</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300FCD58">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建造师执业印章号：</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387E52D1">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安全生产考核合格证书号：</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4945CD5A">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联系电话：</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171111E3">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电子信箱：</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7FF33512">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通信地址：</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6C5F006E">
      <w:pPr>
        <w:spacing w:line="440" w:lineRule="exact"/>
        <w:ind w:firstLine="480" w:firstLineChars="200"/>
        <w:rPr>
          <w:rFonts w:hint="eastAsia" w:ascii="宋体" w:hAnsi="宋体" w:eastAsia="宋体" w:cs="宋体"/>
          <w:b/>
          <w:color w:val="auto"/>
          <w:sz w:val="24"/>
          <w:szCs w:val="24"/>
          <w:u w:val="single"/>
        </w:rPr>
      </w:pPr>
      <w:r>
        <w:rPr>
          <w:rFonts w:hint="eastAsia" w:ascii="宋体" w:hAnsi="宋体" w:eastAsia="宋体" w:cs="宋体"/>
          <w:color w:val="auto"/>
          <w:sz w:val="24"/>
          <w:szCs w:val="24"/>
        </w:rPr>
        <w:t>承包人对项目经理的授权范围如下：</w:t>
      </w:r>
      <w:r>
        <w:rPr>
          <w:rFonts w:hint="eastAsia" w:ascii="宋体" w:hAnsi="宋体" w:eastAsia="宋体" w:cs="宋体"/>
          <w:b/>
          <w:color w:val="auto"/>
          <w:sz w:val="24"/>
          <w:szCs w:val="24"/>
          <w:u w:val="single"/>
        </w:rPr>
        <w:t>负责现场工程管理、协调关系、服从发包人和监理的指挥。</w:t>
      </w:r>
    </w:p>
    <w:p w14:paraId="673CACC4">
      <w:pPr>
        <w:spacing w:line="440" w:lineRule="exact"/>
        <w:ind w:firstLine="480" w:firstLineChars="200"/>
        <w:rPr>
          <w:rFonts w:hint="eastAsia" w:ascii="宋体" w:hAnsi="宋体" w:eastAsia="宋体" w:cs="宋体"/>
          <w:b/>
          <w:color w:val="auto"/>
          <w:sz w:val="24"/>
          <w:szCs w:val="24"/>
          <w:u w:val="single"/>
        </w:rPr>
      </w:pPr>
      <w:r>
        <w:rPr>
          <w:rFonts w:hint="eastAsia" w:ascii="宋体" w:hAnsi="宋体" w:eastAsia="宋体" w:cs="宋体"/>
          <w:color w:val="auto"/>
          <w:sz w:val="24"/>
          <w:szCs w:val="24"/>
        </w:rPr>
        <w:t>关于项目经理每月在施工现场的时间要求：</w:t>
      </w:r>
      <w:r>
        <w:rPr>
          <w:rFonts w:hint="eastAsia" w:ascii="宋体" w:hAnsi="宋体" w:eastAsia="宋体" w:cs="宋体"/>
          <w:b/>
          <w:color w:val="auto"/>
          <w:sz w:val="24"/>
          <w:szCs w:val="24"/>
          <w:u w:val="single"/>
        </w:rPr>
        <w:t>从工程开工（以开工令为准）起，项目经理保证每个月的出勤天数不少于25天，并且每天在施工现场工作不少于8小时，离开施工现场必须向发包人请假。</w:t>
      </w:r>
    </w:p>
    <w:p w14:paraId="6F1E0D3A">
      <w:pPr>
        <w:adjustRightInd w:val="0"/>
        <w:snapToGrid w:val="0"/>
        <w:spacing w:line="440" w:lineRule="exact"/>
        <w:ind w:firstLine="480" w:firstLineChars="200"/>
        <w:rPr>
          <w:rFonts w:hint="eastAsia" w:ascii="宋体" w:hAnsi="宋体" w:eastAsia="宋体" w:cs="宋体"/>
          <w:b/>
          <w:color w:val="auto"/>
          <w:sz w:val="24"/>
          <w:szCs w:val="24"/>
          <w:u w:val="single"/>
        </w:rPr>
      </w:pPr>
      <w:r>
        <w:rPr>
          <w:rFonts w:hint="eastAsia" w:ascii="宋体" w:hAnsi="宋体" w:eastAsia="宋体" w:cs="宋体"/>
          <w:color w:val="auto"/>
          <w:sz w:val="24"/>
          <w:szCs w:val="24"/>
        </w:rPr>
        <w:t>项目经理未经批准，擅自离开施工现场的违约责任：</w:t>
      </w:r>
      <w:r>
        <w:rPr>
          <w:rFonts w:hint="eastAsia" w:ascii="宋体" w:hAnsi="宋体" w:eastAsia="宋体" w:cs="宋体"/>
          <w:b/>
          <w:color w:val="auto"/>
          <w:sz w:val="24"/>
          <w:szCs w:val="24"/>
          <w:u w:val="single"/>
        </w:rPr>
        <w:t>由发包人代表及总监理工程师负责对其考勤，若发现项目经理出勤天数少于25天，按每少出勤1天支付2000元的违约金。累计缺勤10天或连续缺勤5天，发包人有权解除合同，限令退场并没收履约保证金，已完成工程量不予结算，并由承包人承担由此发生的全部责任和损失。</w:t>
      </w:r>
    </w:p>
    <w:p w14:paraId="3541D509">
      <w:pPr>
        <w:spacing w:line="440" w:lineRule="exact"/>
        <w:ind w:firstLine="480" w:firstLineChars="200"/>
        <w:rPr>
          <w:rFonts w:hint="eastAsia" w:ascii="宋体" w:hAnsi="宋体" w:eastAsia="宋体" w:cs="宋体"/>
          <w:b/>
          <w:color w:val="auto"/>
          <w:sz w:val="24"/>
          <w:szCs w:val="24"/>
          <w:highlight w:val="none"/>
          <w:u w:val="single"/>
        </w:rPr>
      </w:pPr>
      <w:r>
        <w:rPr>
          <w:rFonts w:hint="eastAsia" w:ascii="宋体" w:hAnsi="宋体" w:eastAsia="宋体" w:cs="宋体"/>
          <w:color w:val="auto"/>
          <w:sz w:val="24"/>
          <w:szCs w:val="24"/>
        </w:rPr>
        <w:t>3.2.3 承包人擅自更换项目经理的违约责任：</w:t>
      </w:r>
      <w:r>
        <w:rPr>
          <w:rFonts w:hint="eastAsia" w:ascii="宋体" w:hAnsi="宋体" w:eastAsia="宋体" w:cs="宋体"/>
          <w:b/>
          <w:color w:val="auto"/>
          <w:sz w:val="24"/>
          <w:szCs w:val="24"/>
          <w:u w:val="single"/>
        </w:rPr>
        <w:t>承包人投标书中的项目经理不得擅自更换。擅自更换</w:t>
      </w:r>
      <w:r>
        <w:rPr>
          <w:rFonts w:hint="eastAsia" w:ascii="宋体" w:hAnsi="宋体" w:eastAsia="宋体" w:cs="宋体"/>
          <w:b/>
          <w:color w:val="auto"/>
          <w:sz w:val="24"/>
          <w:szCs w:val="24"/>
          <w:highlight w:val="none"/>
          <w:u w:val="single"/>
        </w:rPr>
        <w:t>的，除责令改正外，同时须支付3万元的违约金。若承包人拒绝改正，发包人有权解除合同，限令退场，没收履约保证金，已完成工程量不予结算，并由承包人承担由此发生的全部责任和损失。如因项目经理突发特殊情况无法履职的，经发包人审批同意方可更换项目经理，同时须支付1万元的违约金。</w:t>
      </w:r>
    </w:p>
    <w:p w14:paraId="40F4378B">
      <w:pPr>
        <w:spacing w:line="440" w:lineRule="exact"/>
        <w:ind w:firstLine="480" w:firstLineChars="200"/>
        <w:rPr>
          <w:rFonts w:hint="eastAsia" w:ascii="宋体" w:hAnsi="宋体" w:eastAsia="宋体" w:cs="宋体"/>
          <w:b/>
          <w:color w:val="auto"/>
          <w:sz w:val="24"/>
          <w:szCs w:val="24"/>
          <w:highlight w:val="none"/>
          <w:u w:val="single"/>
        </w:rPr>
      </w:pPr>
      <w:r>
        <w:rPr>
          <w:rFonts w:hint="eastAsia" w:ascii="宋体" w:hAnsi="宋体" w:eastAsia="宋体" w:cs="宋体"/>
          <w:color w:val="auto"/>
          <w:sz w:val="24"/>
          <w:szCs w:val="24"/>
          <w:highlight w:val="none"/>
        </w:rPr>
        <w:t>3.2.4 承包人无正当理由拒绝更换项目经理的违约责任：</w:t>
      </w:r>
      <w:r>
        <w:rPr>
          <w:rFonts w:hint="eastAsia" w:ascii="宋体" w:hAnsi="宋体" w:eastAsia="宋体" w:cs="宋体"/>
          <w:b/>
          <w:color w:val="auto"/>
          <w:sz w:val="24"/>
          <w:szCs w:val="24"/>
          <w:highlight w:val="none"/>
          <w:u w:val="single"/>
        </w:rPr>
        <w:t>项目经理经发包人和监理方考核不合格者，承包人必须在一周内无条件更换同等资格的项目经理，同时须支付1万元/次的违约金。若拒绝更换还须追加支付3万元/次的违约金，发包人有权解除合同，限令退场。</w:t>
      </w:r>
    </w:p>
    <w:p w14:paraId="7935D2A0">
      <w:pPr>
        <w:adjustRightInd w:val="0"/>
        <w:snapToGrid w:val="0"/>
        <w:spacing w:line="440" w:lineRule="exact"/>
        <w:ind w:firstLine="480" w:firstLineChars="200"/>
        <w:rPr>
          <w:rFonts w:hint="eastAsia" w:ascii="宋体" w:hAnsi="宋体" w:eastAsia="宋体" w:cs="宋体"/>
          <w:b/>
          <w:color w:val="auto"/>
          <w:sz w:val="24"/>
          <w:szCs w:val="24"/>
          <w:highlight w:val="none"/>
          <w:u w:val="single"/>
        </w:rPr>
      </w:pPr>
      <w:r>
        <w:rPr>
          <w:rFonts w:hint="eastAsia" w:ascii="宋体" w:hAnsi="宋体" w:eastAsia="宋体" w:cs="宋体"/>
          <w:color w:val="auto"/>
          <w:sz w:val="24"/>
          <w:szCs w:val="24"/>
          <w:highlight w:val="none"/>
        </w:rPr>
        <w:t>3.3 承包人人员</w:t>
      </w:r>
    </w:p>
    <w:p w14:paraId="0036CA96">
      <w:pPr>
        <w:spacing w:line="440" w:lineRule="exact"/>
        <w:ind w:firstLine="480" w:firstLineChars="200"/>
        <w:rPr>
          <w:rFonts w:hint="eastAsia" w:ascii="宋体" w:hAnsi="宋体" w:eastAsia="宋体" w:cs="宋体"/>
          <w:b/>
          <w:color w:val="auto"/>
          <w:sz w:val="24"/>
          <w:szCs w:val="24"/>
          <w:highlight w:val="none"/>
          <w:u w:val="single"/>
        </w:rPr>
      </w:pPr>
      <w:r>
        <w:rPr>
          <w:rFonts w:hint="eastAsia" w:ascii="宋体" w:hAnsi="宋体" w:eastAsia="宋体" w:cs="宋体"/>
          <w:color w:val="auto"/>
          <w:sz w:val="24"/>
          <w:szCs w:val="24"/>
          <w:highlight w:val="none"/>
        </w:rPr>
        <w:t>3.3.1 承包人提交项目管理机构及施工现场管理人员安排报告的期限：</w:t>
      </w:r>
      <w:r>
        <w:rPr>
          <w:rFonts w:hint="eastAsia" w:ascii="宋体" w:hAnsi="宋体" w:eastAsia="宋体" w:cs="宋体"/>
          <w:color w:val="auto"/>
          <w:sz w:val="24"/>
          <w:szCs w:val="24"/>
          <w:highlight w:val="none"/>
          <w:u w:val="single"/>
        </w:rPr>
        <w:t xml:space="preserve"> </w:t>
      </w:r>
      <w:r>
        <w:rPr>
          <w:rFonts w:hint="eastAsia" w:ascii="宋体" w:hAnsi="宋体" w:eastAsia="宋体" w:cs="宋体"/>
          <w:b/>
          <w:color w:val="auto"/>
          <w:sz w:val="24"/>
          <w:szCs w:val="24"/>
          <w:highlight w:val="none"/>
          <w:u w:val="single"/>
        </w:rPr>
        <w:t>开工前3天 。</w:t>
      </w:r>
    </w:p>
    <w:p w14:paraId="2601B839">
      <w:pPr>
        <w:spacing w:line="440" w:lineRule="exact"/>
        <w:ind w:firstLine="480" w:firstLineChars="200"/>
        <w:rPr>
          <w:rFonts w:hint="eastAsia" w:ascii="宋体" w:hAnsi="宋体" w:eastAsia="宋体" w:cs="宋体"/>
          <w:b/>
          <w:color w:val="auto"/>
          <w:sz w:val="24"/>
          <w:szCs w:val="24"/>
          <w:highlight w:val="none"/>
          <w:u w:val="single"/>
        </w:rPr>
      </w:pPr>
      <w:r>
        <w:rPr>
          <w:rFonts w:hint="eastAsia" w:ascii="宋体" w:hAnsi="宋体" w:eastAsia="宋体" w:cs="宋体"/>
          <w:color w:val="auto"/>
          <w:sz w:val="24"/>
          <w:szCs w:val="24"/>
          <w:highlight w:val="none"/>
        </w:rPr>
        <w:t>3.3.3 承包人无正当理由拒绝撤换主要施工管理人员的违约责任：</w:t>
      </w:r>
      <w:r>
        <w:rPr>
          <w:rFonts w:hint="eastAsia" w:ascii="宋体" w:hAnsi="宋体" w:eastAsia="宋体" w:cs="宋体"/>
          <w:b/>
          <w:color w:val="auto"/>
          <w:sz w:val="24"/>
          <w:szCs w:val="24"/>
          <w:highlight w:val="none"/>
          <w:u w:val="single"/>
        </w:rPr>
        <w:t>项目技术负责人、施工员、质检员及安全员经发包人和监理方考核不合格者，承包人必须在一周内无条件更换，同时须支付技术负责人</w:t>
      </w:r>
      <w:r>
        <w:rPr>
          <w:rFonts w:hint="eastAsia" w:ascii="宋体" w:hAnsi="宋体" w:cs="宋体"/>
          <w:b/>
          <w:color w:val="auto"/>
          <w:sz w:val="24"/>
          <w:szCs w:val="24"/>
          <w:highlight w:val="none"/>
          <w:u w:val="single"/>
          <w:lang w:val="en-US" w:eastAsia="zh-CN"/>
        </w:rPr>
        <w:t>5000</w:t>
      </w:r>
      <w:r>
        <w:rPr>
          <w:rFonts w:hint="eastAsia" w:ascii="宋体" w:hAnsi="宋体" w:eastAsia="宋体" w:cs="宋体"/>
          <w:b/>
          <w:color w:val="auto"/>
          <w:sz w:val="24"/>
          <w:szCs w:val="24"/>
          <w:highlight w:val="none"/>
          <w:u w:val="single"/>
        </w:rPr>
        <w:t>元/人·次的违约金，施工员、质检员及安全员</w:t>
      </w:r>
      <w:r>
        <w:rPr>
          <w:rFonts w:hint="eastAsia" w:ascii="宋体" w:hAnsi="宋体" w:cs="宋体"/>
          <w:b/>
          <w:color w:val="auto"/>
          <w:sz w:val="24"/>
          <w:szCs w:val="24"/>
          <w:highlight w:val="none"/>
          <w:u w:val="single"/>
          <w:lang w:val="en-US" w:eastAsia="zh-CN"/>
        </w:rPr>
        <w:t>2000</w:t>
      </w:r>
      <w:r>
        <w:rPr>
          <w:rFonts w:hint="eastAsia" w:ascii="宋体" w:hAnsi="宋体" w:eastAsia="宋体" w:cs="宋体"/>
          <w:b/>
          <w:color w:val="auto"/>
          <w:sz w:val="24"/>
          <w:szCs w:val="24"/>
          <w:highlight w:val="none"/>
          <w:u w:val="single"/>
        </w:rPr>
        <w:t>元/人·次的违约金。若拒绝更换同时须支付</w:t>
      </w:r>
      <w:r>
        <w:rPr>
          <w:rFonts w:hint="eastAsia" w:ascii="宋体" w:hAnsi="宋体" w:cs="宋体"/>
          <w:b/>
          <w:color w:val="auto"/>
          <w:sz w:val="24"/>
          <w:szCs w:val="24"/>
          <w:highlight w:val="none"/>
          <w:u w:val="single"/>
          <w:lang w:val="en-US" w:eastAsia="zh-CN"/>
        </w:rPr>
        <w:t>5000</w:t>
      </w:r>
      <w:r>
        <w:rPr>
          <w:rFonts w:hint="eastAsia" w:ascii="宋体" w:hAnsi="宋体" w:eastAsia="宋体" w:cs="宋体"/>
          <w:b/>
          <w:color w:val="auto"/>
          <w:sz w:val="24"/>
          <w:szCs w:val="24"/>
          <w:highlight w:val="none"/>
          <w:u w:val="single"/>
        </w:rPr>
        <w:t>元/人·次的违约金。</w:t>
      </w:r>
    </w:p>
    <w:p w14:paraId="4BDC4DFA">
      <w:pPr>
        <w:spacing w:line="440" w:lineRule="exact"/>
        <w:ind w:firstLine="482" w:firstLineChars="200"/>
        <w:rPr>
          <w:rFonts w:hint="eastAsia" w:ascii="宋体" w:hAnsi="宋体" w:eastAsia="宋体" w:cs="宋体"/>
          <w:b/>
          <w:color w:val="auto"/>
          <w:sz w:val="24"/>
          <w:szCs w:val="24"/>
          <w:highlight w:val="none"/>
          <w:u w:val="single"/>
        </w:rPr>
      </w:pPr>
      <w:r>
        <w:rPr>
          <w:rFonts w:hint="eastAsia" w:ascii="宋体" w:hAnsi="宋体" w:eastAsia="宋体" w:cs="宋体"/>
          <w:b/>
          <w:color w:val="auto"/>
          <w:sz w:val="24"/>
          <w:szCs w:val="24"/>
          <w:highlight w:val="none"/>
          <w:u w:val="single"/>
        </w:rPr>
        <w:t>承包人人员资格的特别规定：所有特殊工种人员均应持有有关部门颁发的资质证书或上岗证，并在施工上岗之前提供给监理工程师审查，若发现未持有资格证书施工，则按每发现一次，收取1000元/人次的违约金并停工整顿，由此造成的损失由承包人承担。</w:t>
      </w:r>
    </w:p>
    <w:p w14:paraId="17FBEFB5">
      <w:pPr>
        <w:spacing w:line="440" w:lineRule="exact"/>
        <w:ind w:firstLine="480" w:firstLineChars="200"/>
        <w:rPr>
          <w:rFonts w:hint="eastAsia" w:ascii="宋体" w:hAnsi="宋体" w:eastAsia="宋体" w:cs="宋体"/>
          <w:b/>
          <w:color w:val="auto"/>
          <w:sz w:val="24"/>
          <w:szCs w:val="24"/>
          <w:highlight w:val="none"/>
          <w:u w:val="single"/>
        </w:rPr>
      </w:pPr>
      <w:r>
        <w:rPr>
          <w:rFonts w:hint="eastAsia" w:ascii="宋体" w:hAnsi="宋体" w:eastAsia="宋体" w:cs="宋体"/>
          <w:color w:val="auto"/>
          <w:sz w:val="24"/>
          <w:szCs w:val="24"/>
          <w:highlight w:val="none"/>
        </w:rPr>
        <w:t>3.3.4 承包人主要施工管理人员离开施工现场的批准要求：</w:t>
      </w:r>
      <w:r>
        <w:rPr>
          <w:rFonts w:hint="eastAsia" w:ascii="宋体" w:hAnsi="宋体" w:eastAsia="宋体" w:cs="宋体"/>
          <w:b/>
          <w:color w:val="auto"/>
          <w:sz w:val="24"/>
          <w:szCs w:val="24"/>
          <w:highlight w:val="none"/>
          <w:u w:val="single"/>
        </w:rPr>
        <w:t>发包人认可后方可离开。</w:t>
      </w:r>
    </w:p>
    <w:p w14:paraId="2EE8E9A0">
      <w:pPr>
        <w:spacing w:line="440" w:lineRule="exact"/>
        <w:ind w:firstLine="480" w:firstLineChars="200"/>
        <w:rPr>
          <w:rFonts w:hint="eastAsia" w:ascii="宋体" w:hAnsi="宋体" w:eastAsia="宋体" w:cs="宋体"/>
          <w:b/>
          <w:color w:val="auto"/>
          <w:sz w:val="24"/>
          <w:szCs w:val="24"/>
          <w:highlight w:val="none"/>
          <w:u w:val="single"/>
        </w:rPr>
      </w:pPr>
      <w:r>
        <w:rPr>
          <w:rFonts w:hint="eastAsia" w:ascii="宋体" w:hAnsi="宋体" w:eastAsia="宋体" w:cs="宋体"/>
          <w:color w:val="auto"/>
          <w:sz w:val="24"/>
          <w:szCs w:val="24"/>
          <w:highlight w:val="none"/>
        </w:rPr>
        <w:t>3.3.5承包人擅自更换主要施工管理人员的违约责任：</w:t>
      </w:r>
      <w:r>
        <w:rPr>
          <w:rFonts w:hint="eastAsia" w:ascii="宋体" w:hAnsi="宋体" w:eastAsia="宋体" w:cs="宋体"/>
          <w:b/>
          <w:color w:val="auto"/>
          <w:sz w:val="24"/>
          <w:szCs w:val="24"/>
          <w:highlight w:val="none"/>
          <w:u w:val="single"/>
        </w:rPr>
        <w:t>在本工程开工审批后，项目技术负责人、施工员、质检员及安全员不得到其他工程兼职，否则，一经发现，视作违约，按每人次支付2万元的违约金，擅自更换主要管理人员（项目技术负责人、施工员、质检员及安全员），按每人次支付5000元的违约金。</w:t>
      </w:r>
    </w:p>
    <w:p w14:paraId="4C106FF0">
      <w:pPr>
        <w:adjustRightInd w:val="0"/>
        <w:snapToGrid w:val="0"/>
        <w:spacing w:line="440" w:lineRule="exact"/>
        <w:ind w:firstLine="480" w:firstLineChars="200"/>
        <w:rPr>
          <w:rFonts w:hint="eastAsia" w:ascii="宋体" w:hAnsi="宋体" w:eastAsia="宋体" w:cs="宋体"/>
          <w:b/>
          <w:color w:val="auto"/>
          <w:sz w:val="24"/>
          <w:szCs w:val="24"/>
          <w:highlight w:val="none"/>
          <w:u w:val="single"/>
        </w:rPr>
      </w:pPr>
      <w:r>
        <w:rPr>
          <w:rFonts w:hint="eastAsia" w:ascii="宋体" w:hAnsi="宋体" w:eastAsia="宋体" w:cs="宋体"/>
          <w:color w:val="auto"/>
          <w:sz w:val="24"/>
          <w:szCs w:val="24"/>
          <w:highlight w:val="none"/>
        </w:rPr>
        <w:t>承包人主要施工管理人员擅自离开施工现场的违约责任：</w:t>
      </w:r>
      <w:r>
        <w:rPr>
          <w:rFonts w:hint="eastAsia" w:ascii="宋体" w:hAnsi="宋体" w:eastAsia="宋体" w:cs="宋体"/>
          <w:b/>
          <w:color w:val="auto"/>
          <w:sz w:val="24"/>
          <w:szCs w:val="24"/>
          <w:highlight w:val="none"/>
          <w:u w:val="single"/>
        </w:rPr>
        <w:t>主要管理人员（项目技术负责人、施工员、质检员及安全员）每个月的出勤天数不少于25天，根据电子考勤记录，每少出勤1人天支付1000元违约金。</w:t>
      </w:r>
    </w:p>
    <w:p w14:paraId="5EC2BBEE">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bookmarkStart w:id="105" w:name="_Toc297123492"/>
      <w:bookmarkStart w:id="106" w:name="_Toc292559869"/>
      <w:bookmarkStart w:id="107" w:name="_Toc296891199"/>
      <w:bookmarkStart w:id="108" w:name="_Toc297120459"/>
      <w:bookmarkStart w:id="109" w:name="_Toc296890987"/>
      <w:bookmarkStart w:id="110" w:name="_Toc296503159"/>
      <w:bookmarkStart w:id="111" w:name="_Toc296346660"/>
      <w:bookmarkStart w:id="112" w:name="_Toc292559364"/>
      <w:bookmarkStart w:id="113" w:name="_Toc312677988"/>
      <w:bookmarkStart w:id="114" w:name="_Toc296347158"/>
      <w:bookmarkStart w:id="115" w:name="_Toc296944498"/>
      <w:bookmarkStart w:id="116" w:name="_Toc297048345"/>
      <w:bookmarkStart w:id="117" w:name="_Toc300934945"/>
      <w:bookmarkStart w:id="118" w:name="_Toc303539102"/>
      <w:bookmarkStart w:id="119" w:name="_Toc297216151"/>
      <w:bookmarkStart w:id="120" w:name="_Toc304295523"/>
      <w:r>
        <w:rPr>
          <w:rFonts w:hint="eastAsia" w:ascii="宋体" w:hAnsi="宋体" w:eastAsia="宋体" w:cs="宋体"/>
          <w:color w:val="auto"/>
          <w:sz w:val="24"/>
          <w:szCs w:val="24"/>
          <w:highlight w:val="none"/>
        </w:rPr>
        <w:t>.5 分包</w:t>
      </w:r>
    </w:p>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14:paraId="7327E6EB">
      <w:pPr>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w:t>
      </w:r>
      <w:bookmarkStart w:id="121" w:name="_Toc296346661"/>
      <w:bookmarkStart w:id="122" w:name="_Toc297048346"/>
      <w:bookmarkStart w:id="123" w:name="_Toc300934946"/>
      <w:bookmarkStart w:id="124" w:name="_Toc318581158"/>
      <w:bookmarkStart w:id="125" w:name="_Toc297123493"/>
      <w:bookmarkStart w:id="126" w:name="_Toc297216152"/>
      <w:bookmarkStart w:id="127" w:name="_Toc296891200"/>
      <w:bookmarkStart w:id="128" w:name="_Toc296347159"/>
      <w:bookmarkStart w:id="129" w:name="_Toc296944499"/>
      <w:bookmarkStart w:id="130" w:name="_Toc304295524"/>
      <w:bookmarkStart w:id="131" w:name="_Toc292559365"/>
      <w:bookmarkStart w:id="132" w:name="_Toc296890988"/>
      <w:bookmarkStart w:id="133" w:name="_Toc312677989"/>
      <w:bookmarkStart w:id="134" w:name="_Toc297120460"/>
      <w:bookmarkStart w:id="135" w:name="_Toc303539103"/>
      <w:bookmarkStart w:id="136" w:name="_Toc292559870"/>
      <w:bookmarkStart w:id="137" w:name="_Toc296503160"/>
      <w:r>
        <w:rPr>
          <w:rFonts w:hint="eastAsia" w:ascii="宋体" w:hAnsi="宋体" w:eastAsia="宋体" w:cs="宋体"/>
          <w:color w:val="auto"/>
          <w:sz w:val="24"/>
          <w:szCs w:val="24"/>
        </w:rPr>
        <w:t>.5.1 分包的一般约定</w:t>
      </w:r>
    </w:p>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14:paraId="53D7F28D">
      <w:pPr>
        <w:spacing w:line="360" w:lineRule="auto"/>
        <w:ind w:firstLine="480" w:firstLineChars="200"/>
        <w:rPr>
          <w:rFonts w:hint="eastAsia" w:ascii="宋体" w:hAnsi="宋体" w:eastAsia="宋体" w:cs="宋体"/>
          <w:color w:val="auto"/>
          <w:sz w:val="24"/>
          <w:szCs w:val="24"/>
        </w:rPr>
      </w:pPr>
      <w:bookmarkStart w:id="138" w:name="_Toc318581159"/>
      <w:bookmarkStart w:id="139" w:name="_Toc312677990"/>
      <w:r>
        <w:rPr>
          <w:rFonts w:hint="eastAsia" w:ascii="宋体" w:hAnsi="宋体" w:eastAsia="宋体" w:cs="宋体"/>
          <w:color w:val="auto"/>
          <w:sz w:val="24"/>
          <w:szCs w:val="24"/>
        </w:rPr>
        <w:t>禁止分包的工程包括：</w:t>
      </w:r>
      <w:r>
        <w:rPr>
          <w:rFonts w:hint="eastAsia" w:ascii="宋体" w:hAnsi="宋体" w:eastAsia="宋体" w:cs="宋体"/>
          <w:b/>
          <w:color w:val="auto"/>
          <w:sz w:val="24"/>
          <w:szCs w:val="24"/>
          <w:u w:val="single"/>
        </w:rPr>
        <w:t>本工程不得违法分包</w:t>
      </w:r>
      <w:r>
        <w:rPr>
          <w:rFonts w:hint="eastAsia" w:ascii="宋体" w:hAnsi="宋体" w:eastAsia="宋体" w:cs="宋体"/>
          <w:color w:val="auto"/>
          <w:sz w:val="24"/>
          <w:szCs w:val="24"/>
        </w:rPr>
        <w:t>。</w:t>
      </w:r>
    </w:p>
    <w:p w14:paraId="7F6110FF">
      <w:pPr>
        <w:spacing w:line="360" w:lineRule="auto"/>
        <w:ind w:firstLine="480" w:firstLineChars="200"/>
        <w:rPr>
          <w:rFonts w:hint="eastAsia" w:ascii="宋体" w:hAnsi="宋体" w:eastAsia="宋体" w:cs="宋体"/>
          <w:color w:val="auto"/>
          <w:sz w:val="24"/>
          <w:szCs w:val="24"/>
          <w:u w:val="single"/>
        </w:rPr>
      </w:pPr>
      <w:r>
        <w:rPr>
          <w:rFonts w:hint="eastAsia" w:ascii="宋体" w:hAnsi="宋体" w:eastAsia="宋体" w:cs="宋体"/>
          <w:color w:val="auto"/>
          <w:sz w:val="24"/>
          <w:szCs w:val="24"/>
        </w:rPr>
        <w:t>主体结构、关键性工作的范围：</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w:t>
      </w:r>
      <w:r>
        <w:rPr>
          <w:rFonts w:hint="eastAsia" w:ascii="宋体" w:hAnsi="宋体" w:eastAsia="宋体" w:cs="宋体"/>
          <w:color w:val="auto"/>
          <w:sz w:val="24"/>
          <w:szCs w:val="24"/>
          <w:u w:val="single"/>
        </w:rPr>
        <w:t>。</w:t>
      </w:r>
    </w:p>
    <w:p w14:paraId="42D44C87">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3.5.2分包的确定 </w:t>
      </w:r>
    </w:p>
    <w:p w14:paraId="5EB6917C">
      <w:pPr>
        <w:adjustRightInd w:val="0"/>
        <w:snapToGrid w:val="0"/>
        <w:spacing w:line="440" w:lineRule="exact"/>
        <w:ind w:firstLine="480" w:firstLineChars="200"/>
        <w:rPr>
          <w:rFonts w:hint="eastAsia" w:ascii="宋体" w:hAnsi="宋体" w:eastAsia="宋体" w:cs="宋体"/>
          <w:b/>
          <w:bCs/>
          <w:color w:val="auto"/>
          <w:sz w:val="24"/>
          <w:szCs w:val="24"/>
          <w:u w:val="single"/>
        </w:rPr>
      </w:pPr>
      <w:r>
        <w:rPr>
          <w:rFonts w:hint="eastAsia" w:ascii="宋体" w:hAnsi="宋体" w:eastAsia="宋体" w:cs="宋体"/>
          <w:color w:val="auto"/>
          <w:sz w:val="24"/>
          <w:szCs w:val="24"/>
        </w:rPr>
        <w:t>允许分包的专业工程包括：</w:t>
      </w:r>
      <w:r>
        <w:rPr>
          <w:rFonts w:hint="eastAsia" w:ascii="宋体" w:hAnsi="宋体" w:eastAsia="宋体" w:cs="宋体"/>
          <w:b/>
          <w:bCs/>
          <w:color w:val="auto"/>
          <w:sz w:val="24"/>
          <w:szCs w:val="24"/>
          <w:u w:val="single"/>
        </w:rPr>
        <w:t>/。</w:t>
      </w:r>
    </w:p>
    <w:p w14:paraId="73644F94">
      <w:pPr>
        <w:adjustRightInd w:val="0"/>
        <w:snapToGrid w:val="0"/>
        <w:spacing w:line="440" w:lineRule="exact"/>
        <w:ind w:firstLine="480" w:firstLineChars="200"/>
        <w:rPr>
          <w:rFonts w:hint="eastAsia" w:ascii="宋体" w:hAnsi="宋体" w:eastAsia="宋体" w:cs="宋体"/>
          <w:color w:val="auto"/>
          <w:sz w:val="24"/>
          <w:szCs w:val="24"/>
          <w:u w:val="single"/>
        </w:rPr>
      </w:pPr>
      <w:r>
        <w:rPr>
          <w:rFonts w:hint="eastAsia" w:ascii="宋体" w:hAnsi="宋体" w:eastAsia="宋体" w:cs="宋体"/>
          <w:color w:val="auto"/>
          <w:sz w:val="24"/>
          <w:szCs w:val="24"/>
        </w:rPr>
        <w:t>其他关于分包的约定：</w:t>
      </w:r>
      <w:r>
        <w:rPr>
          <w:rFonts w:hint="eastAsia" w:ascii="宋体" w:hAnsi="宋体" w:eastAsia="宋体" w:cs="宋体"/>
          <w:color w:val="auto"/>
          <w:sz w:val="24"/>
          <w:szCs w:val="24"/>
          <w:u w:val="single"/>
        </w:rPr>
        <w:t>在履行合同过程中，承包人不得违法转包和分包，一经发现，解除本合同，罚没全额履约保证金，并且已完成的工程量不予结算，所造成的责任与损失均由承包人全部负责。</w:t>
      </w:r>
    </w:p>
    <w:p w14:paraId="62811357">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3.5.4 分包合同价款</w:t>
      </w:r>
    </w:p>
    <w:p w14:paraId="4C54D865">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关于分包合同价款支付的约定：</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bookmarkEnd w:id="138"/>
    <w:bookmarkEnd w:id="139"/>
    <w:p w14:paraId="65178D0D">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3.6 工程照管与成品、半成品保护</w:t>
      </w:r>
    </w:p>
    <w:p w14:paraId="31334B41">
      <w:pPr>
        <w:spacing w:line="440" w:lineRule="exact"/>
        <w:ind w:firstLine="480" w:firstLineChars="200"/>
        <w:rPr>
          <w:rFonts w:hint="eastAsia" w:ascii="宋体" w:hAnsi="宋体" w:eastAsia="宋体" w:cs="宋体"/>
          <w:color w:val="auto"/>
          <w:sz w:val="24"/>
          <w:szCs w:val="24"/>
          <w:u w:val="single"/>
        </w:rPr>
      </w:pPr>
      <w:r>
        <w:rPr>
          <w:rFonts w:hint="eastAsia" w:ascii="宋体" w:hAnsi="宋体" w:eastAsia="宋体" w:cs="宋体"/>
          <w:color w:val="auto"/>
          <w:sz w:val="24"/>
          <w:szCs w:val="24"/>
        </w:rPr>
        <w:t>承包人负责照管工程及工程相关的材料、工程设备的起始时间：</w:t>
      </w:r>
      <w:r>
        <w:rPr>
          <w:rFonts w:hint="eastAsia" w:ascii="宋体" w:hAnsi="宋体" w:eastAsia="宋体" w:cs="宋体"/>
          <w:b/>
          <w:color w:val="auto"/>
          <w:sz w:val="24"/>
          <w:szCs w:val="24"/>
          <w:u w:val="single"/>
        </w:rPr>
        <w:t xml:space="preserve">按通用条款 </w:t>
      </w:r>
      <w:r>
        <w:rPr>
          <w:rFonts w:hint="eastAsia" w:ascii="宋体" w:hAnsi="宋体" w:eastAsia="宋体" w:cs="宋体"/>
          <w:color w:val="auto"/>
          <w:sz w:val="24"/>
          <w:szCs w:val="24"/>
        </w:rPr>
        <w:t>。</w:t>
      </w:r>
    </w:p>
    <w:p w14:paraId="305A9BE8">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3.7 履约担保</w:t>
      </w:r>
    </w:p>
    <w:p w14:paraId="375E8D9B">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承包人是否提供履约担保：</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提供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1AE53A99">
      <w:pPr>
        <w:autoSpaceDE w:val="0"/>
        <w:autoSpaceDN w:val="0"/>
        <w:adjustRightInd w:val="0"/>
        <w:spacing w:line="440" w:lineRule="exact"/>
        <w:ind w:firstLine="480" w:firstLineChars="200"/>
        <w:rPr>
          <w:rFonts w:hint="eastAsia" w:ascii="宋体" w:hAnsi="宋体" w:eastAsia="宋体" w:cs="宋体"/>
          <w:b/>
          <w:color w:val="auto"/>
          <w:sz w:val="24"/>
          <w:szCs w:val="24"/>
          <w:u w:val="single"/>
        </w:rPr>
      </w:pPr>
      <w:r>
        <w:rPr>
          <w:rFonts w:hint="eastAsia" w:ascii="宋体" w:hAnsi="宋体" w:eastAsia="宋体" w:cs="宋体"/>
          <w:color w:val="auto"/>
          <w:sz w:val="24"/>
          <w:szCs w:val="24"/>
        </w:rPr>
        <w:t>承包人提供履约担保的形式、金额及期限：</w:t>
      </w:r>
      <w:r>
        <w:rPr>
          <w:rFonts w:hint="eastAsia" w:ascii="宋体" w:hAnsi="宋体" w:eastAsia="宋体" w:cs="宋体"/>
          <w:b/>
          <w:color w:val="auto"/>
          <w:sz w:val="24"/>
          <w:szCs w:val="24"/>
          <w:u w:val="single"/>
        </w:rPr>
        <w:t>转账。</w:t>
      </w:r>
    </w:p>
    <w:p w14:paraId="05CE6E61">
      <w:pPr>
        <w:autoSpaceDE w:val="0"/>
        <w:autoSpaceDN w:val="0"/>
        <w:adjustRightInd w:val="0"/>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1、承包人提供的履约担保金额为合同价的5%。</w:t>
      </w:r>
    </w:p>
    <w:p w14:paraId="76EDFC10">
      <w:pPr>
        <w:autoSpaceDE w:val="0"/>
        <w:autoSpaceDN w:val="0"/>
        <w:adjustRightInd w:val="0"/>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2、承包人应按照招标文件规定的时间，将履约担保足额提供给发包人。承包人不按期足额向发包方提交履约担保的，视为承包人放弃签订合同的权利，不得要求发包方签订本合同。</w:t>
      </w:r>
    </w:p>
    <w:p w14:paraId="14867BB3">
      <w:pPr>
        <w:spacing w:line="440" w:lineRule="exact"/>
        <w:ind w:firstLine="482" w:firstLineChars="200"/>
        <w:jc w:val="left"/>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3、履约保证金退还程序：</w:t>
      </w:r>
    </w:p>
    <w:p w14:paraId="41B265DE">
      <w:pPr>
        <w:spacing w:line="440" w:lineRule="exact"/>
        <w:ind w:firstLine="482" w:firstLineChars="200"/>
        <w:jc w:val="left"/>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3.1工程竣工后，承包人未发生违约情况，由承包人附竣工验收证明，向工程部提出予以办理履约保证金退款手续。</w:t>
      </w:r>
    </w:p>
    <w:p w14:paraId="41F4140D">
      <w:pPr>
        <w:spacing w:line="440" w:lineRule="exact"/>
        <w:ind w:firstLine="482" w:firstLineChars="200"/>
        <w:jc w:val="left"/>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3.2承包人发生违约情况的，履约保证金按照如下标准进行扣除：</w:t>
      </w:r>
    </w:p>
    <w:p w14:paraId="3B619E66">
      <w:pPr>
        <w:spacing w:line="440" w:lineRule="exact"/>
        <w:ind w:firstLine="482" w:firstLineChars="200"/>
        <w:jc w:val="left"/>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3.2.1不能按合同约定的竣工日期竣工的，扣除履约保证金的20%。</w:t>
      </w:r>
    </w:p>
    <w:p w14:paraId="024C685D">
      <w:pPr>
        <w:spacing w:line="440" w:lineRule="exact"/>
        <w:ind w:firstLine="482" w:firstLineChars="200"/>
        <w:jc w:val="left"/>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3.2.2发生质量事故的，扣除履约保证金的30%，同时必须在规定期限内整改到位，整改不到位的须承担发包人的经济损失。</w:t>
      </w:r>
    </w:p>
    <w:p w14:paraId="68B07904">
      <w:pPr>
        <w:spacing w:line="440" w:lineRule="exact"/>
        <w:ind w:firstLine="482" w:firstLineChars="200"/>
        <w:jc w:val="left"/>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3.2.3发生一次重伤一人次以上或火灾事故的安全生产责任事故的，扣除履约保证金的30%。</w:t>
      </w:r>
    </w:p>
    <w:p w14:paraId="5C038528">
      <w:pPr>
        <w:spacing w:line="440" w:lineRule="exact"/>
        <w:ind w:firstLine="482" w:firstLineChars="200"/>
        <w:jc w:val="left"/>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3.2.4承包人存在违反《廉政协议》约定行为的，扣除履约保证金的20%。</w:t>
      </w:r>
    </w:p>
    <w:p w14:paraId="7C4ED872">
      <w:pPr>
        <w:spacing w:line="440" w:lineRule="exact"/>
        <w:ind w:firstLine="482" w:firstLineChars="200"/>
        <w:jc w:val="left"/>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4、承包人未能履行本合同或履行不符合本合同约定的，发包人有权解除合同，并减少或拒绝支付剩余工程款。造成发包人经济损失的，仍由承包人承担；按本合同约定以履约保证金向发包人支付违约金。履约保证金不足以支付违约金的，除扣除全部履约保证金外，承包人还应按本合同约定向发包人支付违约金并承担违约责任，不按时支付违约金的，发包人有权从合同总价（或结算价）中扣除。</w:t>
      </w:r>
    </w:p>
    <w:p w14:paraId="01A6E9E0">
      <w:pPr>
        <w:keepNext/>
        <w:keepLines/>
        <w:adjustRightInd w:val="0"/>
        <w:snapToGrid w:val="0"/>
        <w:spacing w:line="440" w:lineRule="exact"/>
        <w:ind w:firstLine="480" w:firstLineChars="200"/>
        <w:outlineLvl w:val="3"/>
        <w:rPr>
          <w:rFonts w:hint="eastAsia" w:ascii="宋体" w:hAnsi="宋体" w:eastAsia="宋体" w:cs="宋体"/>
          <w:bCs/>
          <w:color w:val="auto"/>
          <w:sz w:val="24"/>
          <w:szCs w:val="24"/>
        </w:rPr>
      </w:pPr>
      <w:bookmarkStart w:id="140" w:name="_Toc351203636"/>
      <w:r>
        <w:rPr>
          <w:rFonts w:hint="eastAsia" w:ascii="宋体" w:hAnsi="宋体" w:eastAsia="宋体" w:cs="宋体"/>
          <w:bCs/>
          <w:color w:val="auto"/>
          <w:sz w:val="24"/>
          <w:szCs w:val="24"/>
        </w:rPr>
        <w:t>4</w:t>
      </w:r>
      <w:bookmarkStart w:id="141" w:name="_Toc297048348"/>
      <w:bookmarkStart w:id="142" w:name="_Toc296346663"/>
      <w:bookmarkStart w:id="143" w:name="_Toc296891202"/>
      <w:bookmarkStart w:id="144" w:name="_Toc296503162"/>
      <w:bookmarkStart w:id="145" w:name="_Toc297120462"/>
      <w:bookmarkStart w:id="146" w:name="_Toc296944501"/>
      <w:bookmarkStart w:id="147" w:name="_Toc296890990"/>
      <w:bookmarkStart w:id="148" w:name="_Toc292559871"/>
      <w:bookmarkStart w:id="149" w:name="_Toc267251413"/>
      <w:bookmarkStart w:id="150" w:name="_Toc296347161"/>
      <w:bookmarkStart w:id="151" w:name="_Toc292559366"/>
      <w:r>
        <w:rPr>
          <w:rFonts w:hint="eastAsia" w:ascii="宋体" w:hAnsi="宋体" w:eastAsia="宋体" w:cs="宋体"/>
          <w:bCs/>
          <w:color w:val="auto"/>
          <w:sz w:val="24"/>
          <w:szCs w:val="24"/>
        </w:rPr>
        <w:t>. 监</w:t>
      </w:r>
      <w:bookmarkEnd w:id="141"/>
      <w:bookmarkEnd w:id="142"/>
      <w:bookmarkEnd w:id="143"/>
      <w:bookmarkEnd w:id="144"/>
      <w:bookmarkEnd w:id="145"/>
      <w:bookmarkEnd w:id="146"/>
      <w:bookmarkEnd w:id="147"/>
      <w:bookmarkEnd w:id="148"/>
      <w:bookmarkEnd w:id="149"/>
      <w:bookmarkEnd w:id="150"/>
      <w:bookmarkEnd w:id="151"/>
      <w:r>
        <w:rPr>
          <w:rFonts w:hint="eastAsia" w:ascii="宋体" w:hAnsi="宋体" w:eastAsia="宋体" w:cs="宋体"/>
          <w:bCs/>
          <w:color w:val="auto"/>
          <w:sz w:val="24"/>
          <w:szCs w:val="24"/>
        </w:rPr>
        <w:t>理人</w:t>
      </w:r>
      <w:bookmarkEnd w:id="140"/>
    </w:p>
    <w:p w14:paraId="4DC65564">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4.1监理人的一般规定</w:t>
      </w:r>
    </w:p>
    <w:p w14:paraId="2AA0F269">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关于监理人的监理内容：</w:t>
      </w:r>
      <w:r>
        <w:rPr>
          <w:rFonts w:hint="eastAsia" w:ascii="宋体" w:hAnsi="宋体" w:eastAsia="宋体" w:cs="宋体"/>
          <w:color w:val="auto"/>
          <w:sz w:val="24"/>
          <w:szCs w:val="24"/>
          <w:u w:val="single"/>
        </w:rPr>
        <w:t xml:space="preserve">   </w:t>
      </w:r>
      <w:r>
        <w:rPr>
          <w:rFonts w:hint="eastAsia" w:ascii="宋体" w:hAnsi="宋体" w:cs="宋体"/>
          <w:b/>
          <w:color w:val="auto"/>
          <w:sz w:val="24"/>
          <w:szCs w:val="24"/>
          <w:u w:val="single"/>
          <w:lang w:val="en-US" w:eastAsia="zh-CN"/>
        </w:rPr>
        <w:t>/</w:t>
      </w:r>
      <w:r>
        <w:rPr>
          <w:rFonts w:hint="eastAsia" w:ascii="宋体" w:hAnsi="宋体" w:eastAsia="宋体" w:cs="宋体"/>
          <w:b/>
          <w:color w:val="auto"/>
          <w:sz w:val="24"/>
          <w:szCs w:val="24"/>
          <w:u w:val="single"/>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7FFAE49B">
      <w:pPr>
        <w:spacing w:line="440" w:lineRule="exact"/>
        <w:ind w:firstLine="480" w:firstLineChars="200"/>
        <w:rPr>
          <w:rFonts w:hint="default" w:ascii="宋体" w:hAnsi="宋体" w:eastAsia="宋体" w:cs="宋体"/>
          <w:b/>
          <w:color w:val="auto"/>
          <w:sz w:val="24"/>
          <w:szCs w:val="24"/>
          <w:u w:val="single"/>
          <w:lang w:val="en-US" w:eastAsia="zh-CN"/>
        </w:rPr>
      </w:pPr>
      <w:r>
        <w:rPr>
          <w:rFonts w:hint="eastAsia" w:ascii="宋体" w:hAnsi="宋体" w:eastAsia="宋体" w:cs="宋体"/>
          <w:color w:val="auto"/>
          <w:sz w:val="24"/>
          <w:szCs w:val="24"/>
        </w:rPr>
        <w:t>关于监理人的监理权限：</w:t>
      </w:r>
      <w:r>
        <w:rPr>
          <w:rFonts w:hint="eastAsia" w:ascii="宋体" w:hAnsi="宋体" w:cs="宋体"/>
          <w:b/>
          <w:color w:val="auto"/>
          <w:sz w:val="24"/>
          <w:szCs w:val="24"/>
          <w:u w:val="single"/>
          <w:lang w:val="en-US" w:eastAsia="zh-CN"/>
        </w:rPr>
        <w:t xml:space="preserve">   /   </w:t>
      </w:r>
      <w:r>
        <w:rPr>
          <w:rFonts w:hint="eastAsia" w:ascii="宋体" w:hAnsi="宋体" w:cs="宋体"/>
          <w:b/>
          <w:color w:val="auto"/>
          <w:sz w:val="24"/>
          <w:szCs w:val="24"/>
          <w:u w:val="none"/>
          <w:lang w:val="en-US" w:eastAsia="zh-CN"/>
        </w:rPr>
        <w:t>。</w:t>
      </w:r>
    </w:p>
    <w:p w14:paraId="42566FF3">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关于监理人在施工现场的办公场所、生活场所的提供和费用承担的约定：</w:t>
      </w:r>
      <w:r>
        <w:rPr>
          <w:rFonts w:hint="eastAsia" w:ascii="宋体" w:hAnsi="宋体" w:cs="宋体"/>
          <w:b/>
          <w:color w:val="auto"/>
          <w:sz w:val="24"/>
          <w:szCs w:val="24"/>
          <w:u w:val="single"/>
          <w:lang w:val="en-US" w:eastAsia="zh-CN"/>
        </w:rPr>
        <w:t xml:space="preserve">      /   </w:t>
      </w:r>
      <w:r>
        <w:rPr>
          <w:rFonts w:hint="eastAsia" w:ascii="宋体" w:hAnsi="宋体" w:eastAsia="宋体" w:cs="宋体"/>
          <w:color w:val="auto"/>
          <w:sz w:val="24"/>
          <w:szCs w:val="24"/>
        </w:rPr>
        <w:t>。</w:t>
      </w:r>
    </w:p>
    <w:p w14:paraId="109EAF20">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4.2 监理人员</w:t>
      </w:r>
    </w:p>
    <w:p w14:paraId="0F254398">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总监理工程师：</w:t>
      </w:r>
    </w:p>
    <w:p w14:paraId="1D88AF50">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姓    名：</w:t>
      </w:r>
      <w:r>
        <w:rPr>
          <w:rFonts w:hint="eastAsia" w:ascii="宋体" w:hAnsi="宋体" w:eastAsia="宋体" w:cs="宋体"/>
          <w:color w:val="auto"/>
          <w:sz w:val="24"/>
          <w:szCs w:val="24"/>
          <w:u w:val="single"/>
        </w:rPr>
        <w:t xml:space="preserve">           </w:t>
      </w:r>
      <w:r>
        <w:rPr>
          <w:rFonts w:hint="eastAsia" w:ascii="宋体" w:hAnsi="宋体" w:cs="宋体"/>
          <w:color w:val="auto"/>
          <w:sz w:val="24"/>
          <w:szCs w:val="24"/>
          <w:u w:val="single"/>
          <w:lang w:val="en-US" w:eastAsia="zh-CN"/>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47072892">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职    务：</w:t>
      </w:r>
      <w:r>
        <w:rPr>
          <w:rFonts w:hint="eastAsia" w:ascii="宋体" w:hAnsi="宋体" w:eastAsia="宋体" w:cs="宋体"/>
          <w:color w:val="auto"/>
          <w:sz w:val="24"/>
          <w:szCs w:val="24"/>
          <w:u w:val="single"/>
        </w:rPr>
        <w:t xml:space="preserve">              </w:t>
      </w:r>
      <w:r>
        <w:rPr>
          <w:rFonts w:hint="eastAsia" w:ascii="宋体" w:hAnsi="宋体" w:cs="宋体"/>
          <w:color w:val="auto"/>
          <w:sz w:val="24"/>
          <w:szCs w:val="24"/>
          <w:u w:val="single"/>
          <w:lang w:val="en-US" w:eastAsia="zh-CN"/>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047222E9">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监理工程师执业资格证书号：</w:t>
      </w:r>
      <w:r>
        <w:rPr>
          <w:rFonts w:hint="eastAsia" w:ascii="宋体" w:hAnsi="宋体" w:eastAsia="宋体" w:cs="宋体"/>
          <w:color w:val="auto"/>
          <w:sz w:val="24"/>
          <w:szCs w:val="24"/>
          <w:u w:val="single"/>
        </w:rPr>
        <w:t xml:space="preserve">     </w:t>
      </w:r>
      <w:r>
        <w:rPr>
          <w:rFonts w:hint="eastAsia" w:ascii="宋体" w:hAnsi="宋体" w:cs="宋体"/>
          <w:color w:val="auto"/>
          <w:sz w:val="24"/>
          <w:szCs w:val="24"/>
          <w:u w:val="single"/>
          <w:lang w:val="en-US" w:eastAsia="zh-CN"/>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7A949F89">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联系电话：</w:t>
      </w:r>
      <w:r>
        <w:rPr>
          <w:rFonts w:hint="eastAsia" w:ascii="宋体" w:hAnsi="宋体" w:eastAsia="宋体" w:cs="宋体"/>
          <w:color w:val="auto"/>
          <w:sz w:val="24"/>
          <w:szCs w:val="24"/>
          <w:u w:val="single"/>
        </w:rPr>
        <w:t xml:space="preserve">             </w:t>
      </w:r>
      <w:r>
        <w:rPr>
          <w:rFonts w:hint="eastAsia" w:ascii="宋体" w:hAnsi="宋体" w:cs="宋体"/>
          <w:color w:val="auto"/>
          <w:sz w:val="24"/>
          <w:szCs w:val="24"/>
          <w:u w:val="single"/>
          <w:lang w:val="en-US" w:eastAsia="zh-CN"/>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67B2EEC1">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电子信箱：</w:t>
      </w:r>
      <w:r>
        <w:rPr>
          <w:rFonts w:hint="eastAsia" w:ascii="宋体" w:hAnsi="宋体" w:eastAsia="宋体" w:cs="宋体"/>
          <w:color w:val="auto"/>
          <w:sz w:val="24"/>
          <w:szCs w:val="24"/>
          <w:u w:val="single"/>
        </w:rPr>
        <w:t xml:space="preserve">            </w:t>
      </w:r>
      <w:r>
        <w:rPr>
          <w:rFonts w:hint="eastAsia" w:ascii="宋体" w:hAnsi="宋体" w:cs="宋体"/>
          <w:color w:val="auto"/>
          <w:sz w:val="24"/>
          <w:szCs w:val="24"/>
          <w:u w:val="single"/>
          <w:lang w:val="en-US" w:eastAsia="zh-CN"/>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6AD00074">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通信地址：</w:t>
      </w:r>
      <w:r>
        <w:rPr>
          <w:rFonts w:hint="eastAsia" w:ascii="宋体" w:hAnsi="宋体" w:eastAsia="宋体" w:cs="宋体"/>
          <w:color w:val="auto"/>
          <w:sz w:val="24"/>
          <w:szCs w:val="24"/>
          <w:u w:val="single"/>
        </w:rPr>
        <w:t xml:space="preserve">             </w:t>
      </w:r>
      <w:r>
        <w:rPr>
          <w:rFonts w:hint="eastAsia" w:ascii="宋体" w:hAnsi="宋体" w:cs="宋体"/>
          <w:color w:val="auto"/>
          <w:sz w:val="24"/>
          <w:szCs w:val="24"/>
          <w:u w:val="single"/>
          <w:lang w:val="en-US" w:eastAsia="zh-CN"/>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1F8FA017">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关于监理人的其他约定：</w:t>
      </w:r>
      <w:r>
        <w:rPr>
          <w:rFonts w:hint="eastAsia" w:ascii="宋体" w:hAnsi="宋体" w:eastAsia="宋体" w:cs="宋体"/>
          <w:color w:val="auto"/>
          <w:sz w:val="24"/>
          <w:szCs w:val="24"/>
          <w:u w:val="single"/>
        </w:rPr>
        <w:t xml:space="preserve">      </w:t>
      </w:r>
      <w:r>
        <w:rPr>
          <w:rFonts w:hint="eastAsia" w:ascii="宋体" w:hAnsi="宋体" w:cs="宋体"/>
          <w:color w:val="auto"/>
          <w:sz w:val="24"/>
          <w:szCs w:val="24"/>
          <w:u w:val="single"/>
          <w:lang w:val="en-US" w:eastAsia="zh-CN"/>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6C4909DE">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4.4 商定或确定</w:t>
      </w:r>
    </w:p>
    <w:p w14:paraId="425DA157">
      <w:pPr>
        <w:adjustRightInd w:val="0"/>
        <w:snapToGrid w:val="0"/>
        <w:spacing w:line="440" w:lineRule="exact"/>
        <w:ind w:firstLine="480" w:firstLineChars="200"/>
        <w:rPr>
          <w:rFonts w:hint="eastAsia" w:ascii="宋体" w:hAnsi="宋体" w:eastAsia="宋体" w:cs="宋体"/>
          <w:bCs/>
          <w:color w:val="auto"/>
          <w:sz w:val="24"/>
          <w:szCs w:val="24"/>
        </w:rPr>
      </w:pPr>
      <w:bookmarkStart w:id="152" w:name="_Toc267251418"/>
      <w:r>
        <w:rPr>
          <w:rFonts w:hint="eastAsia" w:ascii="宋体" w:hAnsi="宋体" w:eastAsia="宋体" w:cs="宋体"/>
          <w:color w:val="auto"/>
          <w:sz w:val="24"/>
          <w:szCs w:val="24"/>
        </w:rPr>
        <w:t>在发包人和承包人不能通过协商达成一致意见时，发包人授权监理人对以下事项进行确定：</w:t>
      </w:r>
      <w:bookmarkStart w:id="153" w:name="_Toc351203637"/>
      <w:r>
        <w:rPr>
          <w:rFonts w:hint="eastAsia" w:ascii="宋体" w:hAnsi="宋体" w:eastAsia="宋体" w:cs="宋体"/>
          <w:b/>
          <w:color w:val="auto"/>
          <w:sz w:val="24"/>
          <w:szCs w:val="24"/>
          <w:u w:val="single"/>
        </w:rPr>
        <w:t>按通用条款</w:t>
      </w:r>
      <w:r>
        <w:rPr>
          <w:rFonts w:hint="eastAsia" w:ascii="宋体" w:hAnsi="宋体" w:eastAsia="宋体" w:cs="宋体"/>
          <w:bCs/>
          <w:color w:val="auto"/>
          <w:sz w:val="24"/>
          <w:szCs w:val="24"/>
        </w:rPr>
        <w:t xml:space="preserve">。 </w:t>
      </w:r>
    </w:p>
    <w:p w14:paraId="32C04B16">
      <w:pPr>
        <w:keepNext/>
        <w:keepLines/>
        <w:adjustRightInd w:val="0"/>
        <w:snapToGrid w:val="0"/>
        <w:spacing w:line="440" w:lineRule="exact"/>
        <w:ind w:firstLine="480" w:firstLineChars="200"/>
        <w:outlineLvl w:val="3"/>
        <w:rPr>
          <w:rFonts w:hint="eastAsia" w:ascii="宋体" w:hAnsi="宋体" w:eastAsia="宋体" w:cs="宋体"/>
          <w:bCs/>
          <w:color w:val="auto"/>
          <w:sz w:val="24"/>
          <w:szCs w:val="24"/>
        </w:rPr>
      </w:pPr>
      <w:r>
        <w:rPr>
          <w:rFonts w:hint="eastAsia" w:ascii="宋体" w:hAnsi="宋体" w:eastAsia="宋体" w:cs="宋体"/>
          <w:bCs/>
          <w:color w:val="auto"/>
          <w:sz w:val="24"/>
          <w:szCs w:val="24"/>
        </w:rPr>
        <w:t>5</w:t>
      </w:r>
      <w:bookmarkEnd w:id="152"/>
      <w:r>
        <w:rPr>
          <w:rFonts w:hint="eastAsia" w:ascii="宋体" w:hAnsi="宋体" w:eastAsia="宋体" w:cs="宋体"/>
          <w:bCs/>
          <w:color w:val="auto"/>
          <w:sz w:val="24"/>
          <w:szCs w:val="24"/>
        </w:rPr>
        <w:t>. 工程质量</w:t>
      </w:r>
      <w:bookmarkEnd w:id="153"/>
    </w:p>
    <w:p w14:paraId="38EA4A77">
      <w:pPr>
        <w:adjustRightInd w:val="0"/>
        <w:snapToGrid w:val="0"/>
        <w:spacing w:line="44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5.1 质量要求：</w:t>
      </w:r>
      <w:r>
        <w:rPr>
          <w:rFonts w:hint="eastAsia" w:ascii="宋体" w:hAnsi="宋体" w:eastAsia="宋体" w:cs="宋体"/>
          <w:b/>
          <w:color w:val="auto"/>
          <w:sz w:val="24"/>
          <w:szCs w:val="24"/>
          <w:u w:val="single"/>
        </w:rPr>
        <w:t>工程质量必须达到国家施工质量验收规范合格标准</w:t>
      </w:r>
      <w:r>
        <w:rPr>
          <w:rFonts w:hint="eastAsia" w:ascii="宋体" w:hAnsi="宋体" w:eastAsia="宋体" w:cs="宋体"/>
          <w:color w:val="auto"/>
          <w:sz w:val="24"/>
          <w:szCs w:val="24"/>
        </w:rPr>
        <w:t xml:space="preserve">。 </w:t>
      </w:r>
    </w:p>
    <w:p w14:paraId="3560B5F4">
      <w:pPr>
        <w:spacing w:line="440" w:lineRule="exact"/>
        <w:ind w:firstLine="482" w:firstLineChars="200"/>
        <w:jc w:val="left"/>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承包人必须严格按照施工图纸、工程技术要求及有关工程施工规范、规格和标准施工，并无条件的接受发包人委托的监理单位全方位、全过程的监督管理。无论监理工程师是否进行并通过了各项检验，均不解除承包人对自己承包的工程的质量所负的责任，除非质量问题是由非承包人原因引起的，而此类质量问题承包人须及时通知监理工程师。</w:t>
      </w:r>
    </w:p>
    <w:p w14:paraId="5631E2A9">
      <w:pPr>
        <w:spacing w:line="440" w:lineRule="exact"/>
        <w:ind w:firstLine="482" w:firstLineChars="200"/>
        <w:jc w:val="left"/>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质量保证体系：承包人应按照合同规定，进行质量管理（QC）。承包人应以GB/T19000《质量管理与质量保证》为标准，建立并保持一个健全的工程质量保证体系，完善质量管理制度，建立质量控制流程。</w:t>
      </w:r>
    </w:p>
    <w:p w14:paraId="09DE173D">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5</w:t>
      </w:r>
      <w:bookmarkStart w:id="154" w:name="_Toc303539106"/>
      <w:bookmarkStart w:id="155" w:name="_Toc300934949"/>
      <w:bookmarkStart w:id="156" w:name="_Toc297216155"/>
      <w:bookmarkStart w:id="157" w:name="_Toc318581164"/>
      <w:bookmarkStart w:id="158" w:name="_Toc312677997"/>
      <w:bookmarkStart w:id="159" w:name="_Toc297123496"/>
      <w:bookmarkStart w:id="160" w:name="_Toc304295527"/>
      <w:r>
        <w:rPr>
          <w:rFonts w:hint="eastAsia" w:ascii="宋体" w:hAnsi="宋体" w:eastAsia="宋体" w:cs="宋体"/>
          <w:color w:val="auto"/>
          <w:sz w:val="24"/>
          <w:szCs w:val="24"/>
        </w:rPr>
        <w:t>.1.1 特殊质量标准和要求</w:t>
      </w:r>
    </w:p>
    <w:p w14:paraId="12B51D48">
      <w:pPr>
        <w:spacing w:line="440" w:lineRule="exact"/>
        <w:ind w:firstLine="480" w:firstLineChars="200"/>
        <w:jc w:val="left"/>
        <w:rPr>
          <w:rFonts w:hint="eastAsia" w:ascii="宋体" w:hAnsi="宋体" w:eastAsia="宋体" w:cs="宋体"/>
          <w:b/>
          <w:color w:val="auto"/>
          <w:sz w:val="24"/>
          <w:szCs w:val="24"/>
          <w:u w:val="single"/>
        </w:rPr>
      </w:pPr>
      <w:r>
        <w:rPr>
          <w:rFonts w:hint="eastAsia" w:ascii="宋体" w:hAnsi="宋体" w:eastAsia="宋体" w:cs="宋体"/>
          <w:color w:val="auto"/>
          <w:sz w:val="24"/>
          <w:szCs w:val="24"/>
        </w:rPr>
        <w:t>关于工程奖项的约定：</w:t>
      </w:r>
      <w:r>
        <w:rPr>
          <w:rFonts w:hint="eastAsia" w:ascii="宋体" w:hAnsi="宋体" w:eastAsia="宋体" w:cs="宋体"/>
          <w:b/>
          <w:color w:val="auto"/>
          <w:sz w:val="24"/>
          <w:szCs w:val="24"/>
          <w:u w:val="single"/>
        </w:rPr>
        <w:t>/ 。</w:t>
      </w:r>
    </w:p>
    <w:p w14:paraId="2C19A44C">
      <w:pPr>
        <w:adjustRightInd w:val="0"/>
        <w:snapToGrid w:val="0"/>
        <w:spacing w:line="44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5.3 隐蔽工程检查</w:t>
      </w:r>
    </w:p>
    <w:p w14:paraId="53A63AF0">
      <w:pPr>
        <w:autoSpaceDE w:val="0"/>
        <w:autoSpaceDN w:val="0"/>
        <w:adjustRightInd w:val="0"/>
        <w:spacing w:line="440" w:lineRule="exact"/>
        <w:ind w:firstLine="480" w:firstLineChars="200"/>
        <w:rPr>
          <w:rFonts w:hint="eastAsia" w:ascii="宋体" w:hAnsi="宋体" w:eastAsia="宋体" w:cs="宋体"/>
          <w:color w:val="auto"/>
          <w:sz w:val="24"/>
          <w:szCs w:val="24"/>
          <w:lang w:val="zh-CN"/>
        </w:rPr>
      </w:pPr>
      <w:r>
        <w:rPr>
          <w:rFonts w:hint="eastAsia" w:ascii="宋体" w:hAnsi="宋体" w:eastAsia="宋体" w:cs="宋体"/>
          <w:color w:val="auto"/>
          <w:sz w:val="24"/>
          <w:szCs w:val="24"/>
        </w:rPr>
        <w:t>5.3.2承包人提前通知监理人隐蔽工程检查的期限的约定：</w:t>
      </w:r>
      <w:r>
        <w:rPr>
          <w:rFonts w:hint="eastAsia" w:ascii="宋体" w:hAnsi="宋体" w:eastAsia="宋体" w:cs="宋体"/>
          <w:b/>
          <w:color w:val="auto"/>
          <w:sz w:val="24"/>
          <w:szCs w:val="24"/>
          <w:u w:val="single"/>
        </w:rPr>
        <w:t>按本合同专用条款1.4.1所列的标准和规范进行隐蔽工程的验收。共同检查前48小时书面通知监理人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28650D3D">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监理人不能按时进行检查时，应提前</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24  </w:t>
      </w:r>
      <w:r>
        <w:rPr>
          <w:rFonts w:hint="eastAsia" w:ascii="宋体" w:hAnsi="宋体" w:eastAsia="宋体" w:cs="宋体"/>
          <w:color w:val="auto"/>
          <w:sz w:val="24"/>
          <w:szCs w:val="24"/>
        </w:rPr>
        <w:t>小时提交书面延期要求。</w:t>
      </w:r>
    </w:p>
    <w:p w14:paraId="206063D4">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关于延期最长不得超过：</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48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小时。</w:t>
      </w:r>
    </w:p>
    <w:p w14:paraId="699135CB">
      <w:pPr>
        <w:keepNext/>
        <w:keepLines/>
        <w:adjustRightInd w:val="0"/>
        <w:snapToGrid w:val="0"/>
        <w:spacing w:line="440" w:lineRule="exact"/>
        <w:ind w:firstLine="480" w:firstLineChars="200"/>
        <w:outlineLvl w:val="3"/>
        <w:rPr>
          <w:rFonts w:hint="eastAsia" w:ascii="宋体" w:hAnsi="宋体" w:eastAsia="宋体" w:cs="宋体"/>
          <w:bCs/>
          <w:color w:val="auto"/>
          <w:sz w:val="24"/>
          <w:szCs w:val="24"/>
        </w:rPr>
      </w:pPr>
      <w:bookmarkStart w:id="161" w:name="_Toc351203638"/>
      <w:r>
        <w:rPr>
          <w:rFonts w:hint="eastAsia" w:ascii="宋体" w:hAnsi="宋体" w:eastAsia="宋体" w:cs="宋体"/>
          <w:bCs/>
          <w:color w:val="auto"/>
          <w:sz w:val="24"/>
          <w:szCs w:val="24"/>
        </w:rPr>
        <w:t>6. 安全文明施工与环境保护</w:t>
      </w:r>
      <w:bookmarkEnd w:id="161"/>
    </w:p>
    <w:p w14:paraId="6397ED1B">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6.1安全文明施工</w:t>
      </w:r>
    </w:p>
    <w:p w14:paraId="038BA307">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6.1.1 项目安全生产的达标目标及相应事项的约定：</w:t>
      </w:r>
    </w:p>
    <w:p w14:paraId="4954FB32">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（1）承包人应严格按《建设工程安全生产管理条例》等法律法规采取安全措施组织施工，如发生事故，责任概由承包人承担。但对由于发包人分包单位的责任造成的安全事故，总包单位负连带责任。</w:t>
      </w:r>
    </w:p>
    <w:p w14:paraId="5C5A7305">
      <w:pPr>
        <w:autoSpaceDE w:val="0"/>
        <w:autoSpaceDN w:val="0"/>
        <w:adjustRightInd w:val="0"/>
        <w:spacing w:line="440" w:lineRule="exact"/>
        <w:ind w:left="105" w:leftChars="50" w:firstLine="361" w:firstLineChars="15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（2）承包人对施工现场的安全生产负总责。承包人在工地现场必须配备专职安全员，安全员应当经建设主管部门或者其他有关部门考核合格后方可任职；安全员必须持证上岗。　</w:t>
      </w:r>
      <w:r>
        <w:rPr>
          <w:rFonts w:hint="eastAsia" w:ascii="宋体" w:hAnsi="宋体" w:eastAsia="宋体" w:cs="宋体"/>
          <w:b/>
          <w:color w:val="auto"/>
          <w:sz w:val="24"/>
          <w:szCs w:val="24"/>
          <w:u w:val="single"/>
        </w:rPr>
        <w:br w:type="textWrapping"/>
      </w:r>
      <w:r>
        <w:rPr>
          <w:rFonts w:hint="eastAsia" w:ascii="宋体" w:hAnsi="宋体" w:eastAsia="宋体" w:cs="宋体"/>
          <w:b/>
          <w:color w:val="auto"/>
          <w:sz w:val="24"/>
          <w:szCs w:val="24"/>
          <w:u w:val="single"/>
        </w:rPr>
        <w:t xml:space="preserve">   （3）承包人必须编制专项安全技术措施、施工现场临时用电等方案，对达到一定规模的危险性较大的分部分项工程编制专项施工方案，并按相关文件规定执行。</w:t>
      </w:r>
    </w:p>
    <w:p w14:paraId="1686E95C">
      <w:pPr>
        <w:widowControl/>
        <w:adjustRightInd w:val="0"/>
        <w:snapToGrid w:val="0"/>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（4）工程施工前，承包人负责项目管理的技术人员应当对有关安全施工的技术要求向施工作业班组、作业人员作出书面交底及详细说明，并由双方签字确认。</w:t>
      </w:r>
    </w:p>
    <w:p w14:paraId="1A03C5B8">
      <w:pPr>
        <w:widowControl/>
        <w:adjustRightInd w:val="0"/>
        <w:snapToGrid w:val="0"/>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（5）承包人使用的安全防护用具、机械设备、施工机具及配件，应当具有生产（制造）许可证、产品合格证，并在进入施工现场前进行查验，经监理工程师审查签字确认后方可使用。</w:t>
      </w:r>
    </w:p>
    <w:p w14:paraId="018B0A94">
      <w:pPr>
        <w:widowControl/>
        <w:adjustRightInd w:val="0"/>
        <w:snapToGrid w:val="0"/>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（6）特种作业人员，必须按照国家有关规定经过专门的安全作业培训，并取得特种作业操作资格证书后，方可上岗作业。</w:t>
      </w:r>
    </w:p>
    <w:p w14:paraId="7E20BE4E">
      <w:pPr>
        <w:widowControl/>
        <w:adjustRightInd w:val="0"/>
        <w:snapToGrid w:val="0"/>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7）承包人对因建设工程施工可能造成损害的毗邻建筑物、构筑物和地下管线等，应当采取专项防护措施。承包人应当遵守有关环境保护法律、法规的规定，在施工现场采取措施，防止或者减少粉尘、废气、废水、固体废物、噪声、振动和施工照明对人和环境的危害和污染。</w:t>
      </w:r>
    </w:p>
    <w:p w14:paraId="7916091E">
      <w:pPr>
        <w:widowControl/>
        <w:adjustRightInd w:val="0"/>
        <w:snapToGrid w:val="0"/>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8）承包人应当在施工现场建立消防安全责任制度，确定消防安全责任人，制定用火、用电、使用易燃易爆材料等各项消防安全管理制度和操作规程，设置消防通道、消防水源，配备消防设施和灭火器材，并在施工现场入口处设置明显标志。</w:t>
      </w:r>
    </w:p>
    <w:p w14:paraId="34C13E08">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（9）承包人应对现场作业、施工方法及所施工工程的完备性、稳定性和安全性承担全部责任，并负责承担对工程的稳定、完整、安全、可靠及有效运行所必需的全部工作及相关费用。</w:t>
      </w:r>
    </w:p>
    <w:p w14:paraId="3A1E66D1">
      <w:pPr>
        <w:autoSpaceDE w:val="0"/>
        <w:autoSpaceDN w:val="0"/>
        <w:adjustRightInd w:val="0"/>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（10）在施工期间，由于承包人原因造成的事故，需承担全部责任及由此引起的一切费用，发包人不承担任何责任。</w:t>
      </w:r>
    </w:p>
    <w:bookmarkEnd w:id="73"/>
    <w:bookmarkEnd w:id="74"/>
    <w:bookmarkEnd w:id="75"/>
    <w:bookmarkEnd w:id="76"/>
    <w:bookmarkEnd w:id="77"/>
    <w:bookmarkEnd w:id="78"/>
    <w:bookmarkEnd w:id="79"/>
    <w:bookmarkEnd w:id="80"/>
    <w:bookmarkEnd w:id="81"/>
    <w:bookmarkEnd w:id="82"/>
    <w:bookmarkEnd w:id="83"/>
    <w:bookmarkEnd w:id="154"/>
    <w:bookmarkEnd w:id="155"/>
    <w:bookmarkEnd w:id="156"/>
    <w:bookmarkEnd w:id="157"/>
    <w:bookmarkEnd w:id="158"/>
    <w:bookmarkEnd w:id="159"/>
    <w:bookmarkEnd w:id="160"/>
    <w:p w14:paraId="244A6684">
      <w:pPr>
        <w:autoSpaceDE w:val="0"/>
        <w:autoSpaceDN w:val="0"/>
        <w:adjustRightInd w:val="0"/>
        <w:spacing w:line="440" w:lineRule="exact"/>
        <w:ind w:firstLine="480" w:firstLineChars="200"/>
        <w:rPr>
          <w:rFonts w:hint="eastAsia" w:ascii="宋体" w:hAnsi="宋体" w:eastAsia="宋体" w:cs="宋体"/>
          <w:b/>
          <w:color w:val="auto"/>
          <w:sz w:val="24"/>
          <w:szCs w:val="24"/>
          <w:u w:val="single"/>
        </w:rPr>
      </w:pPr>
      <w:bookmarkStart w:id="162" w:name="_Toc351203643"/>
      <w:r>
        <w:rPr>
          <w:rFonts w:hint="eastAsia" w:ascii="宋体" w:hAnsi="宋体" w:eastAsia="宋体" w:cs="宋体"/>
          <w:color w:val="auto"/>
          <w:sz w:val="24"/>
          <w:szCs w:val="24"/>
        </w:rPr>
        <w:t>6.1.4 关于治安保卫的特别约定：</w:t>
      </w:r>
      <w:r>
        <w:rPr>
          <w:rFonts w:hint="eastAsia" w:ascii="宋体" w:hAnsi="宋体" w:eastAsia="宋体" w:cs="宋体"/>
          <w:b/>
          <w:color w:val="auto"/>
          <w:sz w:val="24"/>
          <w:szCs w:val="24"/>
          <w:u w:val="single"/>
        </w:rPr>
        <w:t>承包人提供和维修非夜间施工使用的照明、围栏设施，并负责安全保卫。施工期间承包人按发包人要求做好成品保护工作；未竣工或已竣工工程未交付发包人之前，承包人负责已完成工程的保护工作，所需费用含在报价内。对需要保护的产品和材料须保护期内发生损坏由承包人无条件、自费、限期予以修补。竣工合格交付后由发包人负责保护，如发包人有特殊要求的可另行补充协议加以约定。</w:t>
      </w:r>
    </w:p>
    <w:p w14:paraId="1E830AC2">
      <w:pPr>
        <w:spacing w:line="440" w:lineRule="exact"/>
        <w:ind w:firstLine="480" w:firstLineChars="200"/>
        <w:rPr>
          <w:rFonts w:hint="eastAsia" w:ascii="宋体" w:hAnsi="宋体" w:eastAsia="宋体" w:cs="宋体"/>
          <w:b/>
          <w:color w:val="auto"/>
          <w:sz w:val="24"/>
          <w:szCs w:val="24"/>
          <w:u w:val="single"/>
        </w:rPr>
      </w:pPr>
      <w:r>
        <w:rPr>
          <w:rFonts w:hint="eastAsia" w:ascii="宋体" w:hAnsi="宋体" w:eastAsia="宋体" w:cs="宋体"/>
          <w:color w:val="auto"/>
          <w:sz w:val="24"/>
          <w:szCs w:val="24"/>
        </w:rPr>
        <w:t>关于编制施工场地治安管理计划的约定：</w:t>
      </w:r>
      <w:r>
        <w:rPr>
          <w:rFonts w:hint="eastAsia" w:ascii="宋体" w:hAnsi="宋体" w:eastAsia="宋体" w:cs="宋体"/>
          <w:b/>
          <w:color w:val="auto"/>
          <w:sz w:val="24"/>
          <w:szCs w:val="24"/>
          <w:u w:val="single"/>
        </w:rPr>
        <w:t>根据项目属地公安管理部门要求执行。</w:t>
      </w:r>
    </w:p>
    <w:p w14:paraId="289E6744">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6.1.5 文明施工</w:t>
      </w:r>
    </w:p>
    <w:p w14:paraId="4512DAD0">
      <w:pPr>
        <w:pStyle w:val="17"/>
        <w:spacing w:line="360" w:lineRule="auto"/>
        <w:ind w:firstLine="480" w:firstLineChars="200"/>
        <w:rPr>
          <w:rFonts w:hint="eastAsia" w:ascii="宋体" w:hAnsi="宋体" w:eastAsia="宋体" w:cs="宋体"/>
          <w:b/>
          <w:color w:val="auto"/>
          <w:sz w:val="24"/>
          <w:szCs w:val="24"/>
          <w:u w:val="single"/>
        </w:rPr>
      </w:pPr>
      <w:r>
        <w:rPr>
          <w:rFonts w:hint="eastAsia" w:ascii="宋体" w:hAnsi="宋体" w:eastAsia="宋体" w:cs="宋体"/>
          <w:color w:val="auto"/>
          <w:sz w:val="24"/>
          <w:szCs w:val="24"/>
        </w:rPr>
        <w:t>合同当事人对文明施工的要求：</w:t>
      </w:r>
      <w:r>
        <w:rPr>
          <w:rFonts w:hint="eastAsia" w:ascii="宋体" w:hAnsi="宋体" w:eastAsia="宋体" w:cs="宋体"/>
          <w:b/>
          <w:color w:val="auto"/>
          <w:sz w:val="24"/>
          <w:szCs w:val="24"/>
          <w:u w:val="single"/>
        </w:rPr>
        <w:t>承包人必须按照星级标准化工地的标准及要求，做好场地清理及相关工作，施工现场要求保证施工场地清洁，编制扬尘控制方案并贯彻落实；施工现场的材料堆放要整齐，机械停放有序，做到工完料清；遵守环境卫生管理的有关规定，符合清洁卫生要求，承担因自身原因违反有关规定造成的损失和罚款；定期地将所有建筑垃圾从施工场地清除，并运出场外；交工前，将所有剩余的建筑材料运走或运至批准地点堆放，将所有施工机械和设备从施工场地运走。包人必须服从发包人现场的统一管理和协调，做到文明施工。施工现场要设立标语、标牌，做到文明施工，树立企业形象，主动接受社会监督和有关部门的管理，建设主管部门及代建单位对承包人按照通开建（2017）53号文行考核。</w:t>
      </w:r>
    </w:p>
    <w:p w14:paraId="29B8C9AF">
      <w:pPr>
        <w:spacing w:line="440" w:lineRule="exact"/>
        <w:ind w:firstLine="480" w:firstLineChars="200"/>
        <w:rPr>
          <w:rFonts w:hint="eastAsia" w:ascii="宋体" w:hAnsi="宋体" w:eastAsia="宋体" w:cs="宋体"/>
          <w:b/>
          <w:color w:val="auto"/>
          <w:sz w:val="24"/>
          <w:szCs w:val="24"/>
          <w:u w:val="single"/>
        </w:rPr>
      </w:pPr>
      <w:r>
        <w:rPr>
          <w:rFonts w:hint="eastAsia" w:ascii="宋体" w:hAnsi="宋体" w:eastAsia="宋体" w:cs="宋体"/>
          <w:color w:val="auto"/>
          <w:sz w:val="24"/>
          <w:szCs w:val="24"/>
        </w:rPr>
        <w:t>6.1.6 关于安全文明施工费支付比例和支付期限的约定：</w:t>
      </w:r>
      <w:r>
        <w:rPr>
          <w:rFonts w:hint="eastAsia" w:ascii="宋体" w:hAnsi="宋体" w:eastAsia="宋体" w:cs="宋体"/>
          <w:b/>
          <w:color w:val="auto"/>
          <w:sz w:val="24"/>
          <w:szCs w:val="24"/>
          <w:u w:val="single"/>
        </w:rPr>
        <w:t>已包含在合同价中，含在进度款中支付。</w:t>
      </w:r>
    </w:p>
    <w:p w14:paraId="12889505">
      <w:pPr>
        <w:adjustRightInd w:val="0"/>
        <w:snapToGrid w:val="0"/>
        <w:spacing w:line="440" w:lineRule="exact"/>
        <w:ind w:firstLine="482" w:firstLineChars="200"/>
        <w:jc w:val="left"/>
        <w:rPr>
          <w:rFonts w:hint="eastAsia" w:ascii="宋体" w:hAnsi="宋体" w:eastAsia="宋体" w:cs="宋体"/>
          <w:b/>
          <w:color w:val="auto"/>
          <w:sz w:val="24"/>
          <w:szCs w:val="24"/>
        </w:rPr>
      </w:pPr>
      <w:r>
        <w:rPr>
          <w:rFonts w:hint="eastAsia" w:ascii="宋体" w:hAnsi="宋体" w:eastAsia="宋体" w:cs="宋体"/>
          <w:b/>
          <w:color w:val="auto"/>
          <w:sz w:val="24"/>
          <w:szCs w:val="24"/>
        </w:rPr>
        <w:t>7. 工期和进度</w:t>
      </w:r>
    </w:p>
    <w:p w14:paraId="78A46337">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7.1 施工组织设计</w:t>
      </w:r>
    </w:p>
    <w:p w14:paraId="72A7D375">
      <w:pPr>
        <w:autoSpaceDE w:val="0"/>
        <w:autoSpaceDN w:val="0"/>
        <w:adjustRightInd w:val="0"/>
        <w:snapToGrid w:val="0"/>
        <w:spacing w:line="440" w:lineRule="exact"/>
        <w:ind w:firstLine="480" w:firstLineChars="200"/>
        <w:jc w:val="left"/>
        <w:rPr>
          <w:rFonts w:hint="eastAsia" w:ascii="宋体" w:hAnsi="宋体" w:eastAsia="宋体" w:cs="宋体"/>
          <w:b/>
          <w:color w:val="auto"/>
          <w:sz w:val="24"/>
          <w:szCs w:val="24"/>
          <w:u w:val="single"/>
        </w:rPr>
      </w:pPr>
      <w:r>
        <w:rPr>
          <w:rFonts w:hint="eastAsia" w:ascii="宋体" w:hAnsi="宋体" w:eastAsia="宋体" w:cs="宋体"/>
          <w:color w:val="auto"/>
          <w:sz w:val="24"/>
          <w:szCs w:val="24"/>
        </w:rPr>
        <w:t>7.1.1 合同当事人约定的施工组织设计应包括的其他内容：</w:t>
      </w:r>
      <w:r>
        <w:rPr>
          <w:rFonts w:hint="eastAsia" w:ascii="宋体" w:hAnsi="宋体" w:eastAsia="宋体" w:cs="宋体"/>
          <w:b/>
          <w:color w:val="auto"/>
          <w:sz w:val="24"/>
          <w:szCs w:val="24"/>
          <w:u w:val="single"/>
        </w:rPr>
        <w:t>承包人编制的进度计划中应明确各分部完成的具体时间，关键线路，劳动力动态变化图等（须经发包人认可）。</w:t>
      </w:r>
    </w:p>
    <w:p w14:paraId="0BA487AA">
      <w:pPr>
        <w:autoSpaceDE w:val="0"/>
        <w:autoSpaceDN w:val="0"/>
        <w:adjustRightInd w:val="0"/>
        <w:snapToGrid w:val="0"/>
        <w:spacing w:line="440" w:lineRule="exact"/>
        <w:ind w:firstLine="482" w:firstLineChars="200"/>
        <w:jc w:val="left"/>
        <w:rPr>
          <w:rFonts w:hint="eastAsia" w:ascii="宋体" w:hAnsi="宋体" w:eastAsia="宋体" w:cs="宋体"/>
          <w:color w:val="auto"/>
          <w:sz w:val="24"/>
          <w:szCs w:val="24"/>
        </w:rPr>
      </w:pPr>
      <w:r>
        <w:rPr>
          <w:rFonts w:hint="eastAsia" w:ascii="宋体" w:hAnsi="宋体" w:eastAsia="宋体" w:cs="宋体"/>
          <w:b/>
          <w:color w:val="auto"/>
          <w:sz w:val="24"/>
          <w:szCs w:val="24"/>
          <w:u w:val="single"/>
        </w:rPr>
        <w:t>实际进度滞后计划进度时，承包人在接到监理通知单后，必须落实纠偏调整措施并认真实施，不及时纠偏需向发包人支付违约金1000元/天。</w:t>
      </w:r>
    </w:p>
    <w:p w14:paraId="7B0ED0BC">
      <w:pPr>
        <w:autoSpaceDE w:val="0"/>
        <w:autoSpaceDN w:val="0"/>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7.1.2 施工组织设计的提交和修改</w:t>
      </w:r>
    </w:p>
    <w:p w14:paraId="7C543BB0">
      <w:pPr>
        <w:autoSpaceDE w:val="0"/>
        <w:autoSpaceDN w:val="0"/>
        <w:adjustRightIn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承包人提交详细施工组织设计的期限的约定：</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开工前7天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1C9670A2">
      <w:pPr>
        <w:autoSpaceDE w:val="0"/>
        <w:autoSpaceDN w:val="0"/>
        <w:adjustRightInd w:val="0"/>
        <w:spacing w:line="440" w:lineRule="exact"/>
        <w:ind w:firstLine="480" w:firstLineChars="200"/>
        <w:rPr>
          <w:rFonts w:hint="eastAsia" w:ascii="宋体" w:hAnsi="宋体" w:eastAsia="宋体" w:cs="宋体"/>
          <w:b/>
          <w:color w:val="auto"/>
          <w:sz w:val="24"/>
          <w:szCs w:val="24"/>
          <w:u w:val="single"/>
        </w:rPr>
      </w:pPr>
      <w:r>
        <w:rPr>
          <w:rFonts w:hint="eastAsia" w:ascii="宋体" w:hAnsi="宋体" w:eastAsia="宋体" w:cs="宋体"/>
          <w:color w:val="auto"/>
          <w:sz w:val="24"/>
          <w:szCs w:val="24"/>
        </w:rPr>
        <w:t>发包人和监理人在收到详细的施工组织设计后确认或提出修改意见的期限：</w:t>
      </w:r>
      <w:r>
        <w:rPr>
          <w:rFonts w:hint="eastAsia" w:ascii="宋体" w:hAnsi="宋体" w:eastAsia="宋体" w:cs="宋体"/>
          <w:b/>
          <w:color w:val="auto"/>
          <w:sz w:val="24"/>
          <w:szCs w:val="24"/>
          <w:u w:val="single"/>
        </w:rPr>
        <w:t>收到施工组织设计（施工方案）后 3日内予以确认或提出修改意见。</w:t>
      </w:r>
    </w:p>
    <w:p w14:paraId="0F3AAB87">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7</w:t>
      </w:r>
      <w:bookmarkStart w:id="163" w:name="_Toc312678005"/>
      <w:bookmarkStart w:id="164" w:name="_Toc297216173"/>
      <w:bookmarkStart w:id="165" w:name="_Toc304295541"/>
      <w:bookmarkStart w:id="166" w:name="_Toc303539123"/>
      <w:bookmarkStart w:id="167" w:name="_Toc312677479"/>
      <w:bookmarkStart w:id="168" w:name="_Toc297123514"/>
      <w:bookmarkStart w:id="169" w:name="_Toc300934966"/>
      <w:r>
        <w:rPr>
          <w:rFonts w:hint="eastAsia" w:ascii="宋体" w:hAnsi="宋体" w:eastAsia="宋体" w:cs="宋体"/>
          <w:color w:val="auto"/>
          <w:sz w:val="24"/>
          <w:szCs w:val="24"/>
        </w:rPr>
        <w:t>.2 施工进度计划</w:t>
      </w:r>
    </w:p>
    <w:p w14:paraId="4C01068E">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7.2.2 施工进度计划的修订</w:t>
      </w:r>
    </w:p>
    <w:p w14:paraId="63F49903">
      <w:pPr>
        <w:spacing w:line="440" w:lineRule="exact"/>
        <w:ind w:firstLine="480" w:firstLineChars="200"/>
        <w:rPr>
          <w:rFonts w:hint="eastAsia" w:ascii="宋体" w:hAnsi="宋体" w:eastAsia="宋体" w:cs="宋体"/>
          <w:b/>
          <w:color w:val="auto"/>
          <w:sz w:val="24"/>
          <w:szCs w:val="24"/>
          <w:u w:val="single"/>
        </w:rPr>
      </w:pPr>
      <w:r>
        <w:rPr>
          <w:rFonts w:hint="eastAsia" w:ascii="宋体" w:hAnsi="宋体" w:eastAsia="宋体" w:cs="宋体"/>
          <w:color w:val="auto"/>
          <w:sz w:val="24"/>
          <w:szCs w:val="24"/>
        </w:rPr>
        <w:t>发包人和监理人在收到修订的施工进度计划后确认或提出修改意见的期限：</w:t>
      </w:r>
      <w:r>
        <w:rPr>
          <w:rFonts w:hint="eastAsia" w:ascii="宋体" w:hAnsi="宋体" w:eastAsia="宋体" w:cs="宋体"/>
          <w:b/>
          <w:color w:val="auto"/>
          <w:sz w:val="24"/>
          <w:szCs w:val="24"/>
          <w:u w:val="single"/>
        </w:rPr>
        <w:t>收到后3日内予以确认或提出修改意见。</w:t>
      </w:r>
    </w:p>
    <w:p w14:paraId="50733308">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7.3 开工</w:t>
      </w:r>
    </w:p>
    <w:p w14:paraId="26066528">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7.3.1 开工准备</w:t>
      </w:r>
    </w:p>
    <w:p w14:paraId="5DBF51C0">
      <w:pPr>
        <w:spacing w:line="440" w:lineRule="exact"/>
        <w:ind w:firstLine="480" w:firstLineChars="200"/>
        <w:rPr>
          <w:rFonts w:hint="eastAsia" w:ascii="宋体" w:hAnsi="宋体" w:eastAsia="宋体" w:cs="宋体"/>
          <w:color w:val="auto"/>
          <w:sz w:val="24"/>
          <w:szCs w:val="24"/>
          <w:u w:val="single"/>
        </w:rPr>
      </w:pPr>
      <w:r>
        <w:rPr>
          <w:rFonts w:hint="eastAsia" w:ascii="宋体" w:hAnsi="宋体" w:eastAsia="宋体" w:cs="宋体"/>
          <w:color w:val="auto"/>
          <w:sz w:val="24"/>
          <w:szCs w:val="24"/>
        </w:rPr>
        <w:t>关于承包人提交工程开工报审表的期限：</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合同签订后3天内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42CC716A">
      <w:pPr>
        <w:autoSpaceDE w:val="0"/>
        <w:autoSpaceDN w:val="0"/>
        <w:adjustRightIn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关于发包人应完成的其他开工准备工作及期限：</w:t>
      </w:r>
      <w:r>
        <w:rPr>
          <w:rFonts w:hint="eastAsia" w:ascii="宋体" w:hAnsi="宋体" w:eastAsia="宋体" w:cs="宋体"/>
          <w:b/>
          <w:color w:val="auto"/>
          <w:sz w:val="24"/>
          <w:szCs w:val="24"/>
          <w:u w:val="single"/>
        </w:rPr>
        <w:t xml:space="preserve">开工前组织图纸会审和设计交底 </w:t>
      </w:r>
      <w:r>
        <w:rPr>
          <w:rFonts w:hint="eastAsia" w:ascii="宋体" w:hAnsi="宋体" w:eastAsia="宋体" w:cs="宋体"/>
          <w:b/>
          <w:color w:val="auto"/>
          <w:sz w:val="24"/>
          <w:szCs w:val="24"/>
        </w:rPr>
        <w:t>。</w:t>
      </w:r>
    </w:p>
    <w:p w14:paraId="58F6F809">
      <w:pPr>
        <w:autoSpaceDE w:val="0"/>
        <w:autoSpaceDN w:val="0"/>
        <w:adjustRightInd w:val="0"/>
        <w:spacing w:line="440" w:lineRule="exact"/>
        <w:ind w:firstLine="480" w:firstLineChars="200"/>
        <w:rPr>
          <w:rFonts w:hint="eastAsia" w:ascii="宋体" w:hAnsi="宋体" w:eastAsia="宋体" w:cs="宋体"/>
          <w:b/>
          <w:color w:val="auto"/>
          <w:sz w:val="24"/>
          <w:szCs w:val="24"/>
          <w:u w:val="single"/>
        </w:rPr>
      </w:pPr>
      <w:r>
        <w:rPr>
          <w:rFonts w:hint="eastAsia" w:ascii="宋体" w:hAnsi="宋体" w:eastAsia="宋体" w:cs="宋体"/>
          <w:color w:val="auto"/>
          <w:sz w:val="24"/>
          <w:szCs w:val="24"/>
        </w:rPr>
        <w:t>关于承包人应完成的其他开工准备工作及期限：</w:t>
      </w:r>
      <w:r>
        <w:rPr>
          <w:rFonts w:hint="eastAsia" w:ascii="宋体" w:hAnsi="宋体" w:eastAsia="宋体" w:cs="宋体"/>
          <w:b/>
          <w:color w:val="auto"/>
          <w:sz w:val="24"/>
          <w:szCs w:val="24"/>
          <w:u w:val="single"/>
        </w:rPr>
        <w:t>遵守政府有关主管部门对施工场地交通、施工噪音、环境保护和安全生产等的管理规定，按规定办理有关手续，并以书面形式通知发包人。</w:t>
      </w:r>
    </w:p>
    <w:p w14:paraId="78A667BA">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7.3.2开工通知</w:t>
      </w:r>
    </w:p>
    <w:p w14:paraId="5E9B6F7C">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因发包人原因造成监理人未能在计划开工日期之日起</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90 </w:t>
      </w:r>
      <w:r>
        <w:rPr>
          <w:rFonts w:hint="eastAsia" w:ascii="宋体" w:hAnsi="宋体" w:eastAsia="宋体" w:cs="宋体"/>
          <w:color w:val="auto"/>
          <w:sz w:val="24"/>
          <w:szCs w:val="24"/>
        </w:rPr>
        <w:t>天内发出开工通知的，承包人有权提出价格调整要求，或者解除合同。</w:t>
      </w:r>
    </w:p>
    <w:bookmarkEnd w:id="163"/>
    <w:bookmarkEnd w:id="164"/>
    <w:bookmarkEnd w:id="165"/>
    <w:bookmarkEnd w:id="166"/>
    <w:bookmarkEnd w:id="167"/>
    <w:bookmarkEnd w:id="168"/>
    <w:bookmarkEnd w:id="169"/>
    <w:p w14:paraId="40AFFA72">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7.4 测量放线</w:t>
      </w:r>
    </w:p>
    <w:p w14:paraId="7048F7A5">
      <w:pPr>
        <w:adjustRightInd w:val="0"/>
        <w:snapToGrid w:val="0"/>
        <w:spacing w:line="440" w:lineRule="exact"/>
        <w:ind w:firstLine="480" w:firstLineChars="200"/>
        <w:jc w:val="left"/>
        <w:rPr>
          <w:rFonts w:hint="eastAsia" w:ascii="宋体" w:hAnsi="宋体" w:eastAsia="宋体" w:cs="宋体"/>
          <w:color w:val="auto"/>
          <w:sz w:val="24"/>
          <w:szCs w:val="24"/>
          <w:u w:val="single"/>
        </w:rPr>
      </w:pPr>
      <w:r>
        <w:rPr>
          <w:rFonts w:hint="eastAsia" w:ascii="宋体" w:hAnsi="宋体" w:eastAsia="宋体" w:cs="宋体"/>
          <w:color w:val="auto"/>
          <w:sz w:val="24"/>
          <w:szCs w:val="24"/>
        </w:rPr>
        <w:t>7.4.1发包人通过监理人向承包人提供测量基准点、基准线和水准点及其书面资料的期限：</w:t>
      </w:r>
      <w:r>
        <w:rPr>
          <w:rFonts w:hint="eastAsia" w:ascii="宋体" w:hAnsi="宋体" w:eastAsia="宋体" w:cs="宋体"/>
          <w:b/>
          <w:color w:val="auto"/>
          <w:sz w:val="24"/>
          <w:szCs w:val="24"/>
          <w:u w:val="single"/>
        </w:rPr>
        <w:t xml:space="preserve">以书面形式交给承包人，并于开工前进行现场交验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34513F30">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7</w:t>
      </w:r>
      <w:bookmarkStart w:id="170" w:name="_Toc303539125"/>
      <w:bookmarkStart w:id="171" w:name="_Toc312678010"/>
      <w:bookmarkStart w:id="172" w:name="_Toc304295546"/>
      <w:bookmarkStart w:id="173" w:name="_Toc297216175"/>
      <w:bookmarkStart w:id="174" w:name="_Toc297123516"/>
      <w:bookmarkStart w:id="175" w:name="_Toc312677484"/>
      <w:bookmarkStart w:id="176" w:name="_Toc300934968"/>
      <w:r>
        <w:rPr>
          <w:rFonts w:hint="eastAsia" w:ascii="宋体" w:hAnsi="宋体" w:eastAsia="宋体" w:cs="宋体"/>
          <w:color w:val="auto"/>
          <w:sz w:val="24"/>
          <w:szCs w:val="24"/>
        </w:rPr>
        <w:t>.5 工期延误</w:t>
      </w:r>
    </w:p>
    <w:bookmarkEnd w:id="170"/>
    <w:bookmarkEnd w:id="171"/>
    <w:bookmarkEnd w:id="172"/>
    <w:bookmarkEnd w:id="173"/>
    <w:bookmarkEnd w:id="174"/>
    <w:bookmarkEnd w:id="175"/>
    <w:bookmarkEnd w:id="176"/>
    <w:p w14:paraId="7EBF0B2E">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7.5.1 因发包人原因导致工期延误</w:t>
      </w:r>
    </w:p>
    <w:p w14:paraId="25D7790B">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（7）因发包人原因导致工期延误的其他情形：</w:t>
      </w:r>
    </w:p>
    <w:p w14:paraId="09AA1AF1">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A.因发包人未在开工前提供施工场地；</w:t>
      </w:r>
    </w:p>
    <w:p w14:paraId="50CD62B4">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B.因发包人原因造成工程延期开工、停建、缓建、暂停施工（不含勒令停工）；</w:t>
      </w:r>
    </w:p>
    <w:p w14:paraId="3DF764B0">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C.因发包人原因提出的单次设计变更导致工程量增加超过合同总价的8%以上的；</w:t>
      </w:r>
    </w:p>
    <w:p w14:paraId="0445E462">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D.由市级以上有关部门正式发布和认定的自然灾害。</w:t>
      </w:r>
    </w:p>
    <w:p w14:paraId="56CDA808">
      <w:pPr>
        <w:autoSpaceDE w:val="0"/>
        <w:autoSpaceDN w:val="0"/>
        <w:adjustRightInd w:val="0"/>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上述情况发生后3天内，承包人需就延误的内容对工程进度造成的影响，向发包人提交书面报告，办理延期手续（须得到发包人代表签字的书面认可），经发包人批准后方可顺延工期，否则工期不予顺延。为体现承包人的合作诚意，承包人同意因发包人原因的工期顺延，且自愿放弃索赔的权利。</w:t>
      </w:r>
    </w:p>
    <w:p w14:paraId="03A25A73">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7</w:t>
      </w:r>
      <w:bookmarkStart w:id="177" w:name="_Toc312678012"/>
      <w:bookmarkStart w:id="178" w:name="_Toc318581169"/>
      <w:bookmarkStart w:id="179" w:name="_Toc312677486"/>
      <w:bookmarkStart w:id="180" w:name="_Toc297216177"/>
      <w:bookmarkStart w:id="181" w:name="_Toc300934970"/>
      <w:bookmarkStart w:id="182" w:name="_Toc303539127"/>
      <w:bookmarkStart w:id="183" w:name="_Toc304295548"/>
      <w:bookmarkStart w:id="184" w:name="_Toc297123518"/>
      <w:r>
        <w:rPr>
          <w:rFonts w:hint="eastAsia" w:ascii="宋体" w:hAnsi="宋体" w:eastAsia="宋体" w:cs="宋体"/>
          <w:color w:val="auto"/>
          <w:sz w:val="24"/>
          <w:szCs w:val="24"/>
        </w:rPr>
        <w:t>.5.2 因承包人原因导致工期延误</w:t>
      </w:r>
    </w:p>
    <w:bookmarkEnd w:id="177"/>
    <w:bookmarkEnd w:id="178"/>
    <w:bookmarkEnd w:id="179"/>
    <w:p w14:paraId="155CF52F">
      <w:pPr>
        <w:adjustRightInd w:val="0"/>
        <w:snapToGrid w:val="0"/>
        <w:spacing w:line="440" w:lineRule="exact"/>
        <w:ind w:firstLine="480" w:firstLineChars="200"/>
        <w:jc w:val="left"/>
        <w:rPr>
          <w:rFonts w:hint="eastAsia" w:ascii="宋体" w:hAnsi="宋体" w:eastAsia="宋体" w:cs="宋体"/>
          <w:b/>
          <w:color w:val="auto"/>
          <w:sz w:val="24"/>
          <w:szCs w:val="24"/>
          <w:u w:val="single"/>
        </w:rPr>
      </w:pPr>
      <w:r>
        <w:rPr>
          <w:rFonts w:hint="eastAsia" w:ascii="宋体" w:hAnsi="宋体" w:eastAsia="宋体" w:cs="宋体"/>
          <w:color w:val="auto"/>
          <w:sz w:val="24"/>
          <w:szCs w:val="24"/>
        </w:rPr>
        <w:t>因</w:t>
      </w:r>
      <w:bookmarkStart w:id="185" w:name="_Toc318581170"/>
      <w:bookmarkStart w:id="186" w:name="_Toc312678013"/>
      <w:bookmarkStart w:id="187" w:name="_Toc312677487"/>
      <w:r>
        <w:rPr>
          <w:rFonts w:hint="eastAsia" w:ascii="宋体" w:hAnsi="宋体" w:eastAsia="宋体" w:cs="宋体"/>
          <w:color w:val="auto"/>
          <w:sz w:val="24"/>
          <w:szCs w:val="24"/>
        </w:rPr>
        <w:t>承包人原因造成工期延误，逾期竣工违约金的计算方法为：</w:t>
      </w:r>
      <w:bookmarkEnd w:id="180"/>
      <w:bookmarkEnd w:id="181"/>
      <w:bookmarkEnd w:id="182"/>
      <w:bookmarkEnd w:id="183"/>
      <w:bookmarkEnd w:id="184"/>
      <w:bookmarkEnd w:id="185"/>
      <w:bookmarkEnd w:id="186"/>
      <w:bookmarkEnd w:id="187"/>
      <w:r>
        <w:rPr>
          <w:rFonts w:hint="eastAsia" w:ascii="宋体" w:hAnsi="宋体" w:eastAsia="宋体" w:cs="宋体"/>
          <w:b/>
          <w:color w:val="auto"/>
          <w:sz w:val="24"/>
          <w:szCs w:val="24"/>
          <w:u w:val="single"/>
        </w:rPr>
        <w:t>因承包人原因不能按协议书约定的时间完成送电的，除扣除20%的履约保证金外，还需向发包人支付违约金合同价的0.5%/天。</w:t>
      </w:r>
    </w:p>
    <w:p w14:paraId="26C10EB6">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因承包人原因造成工期延误，逾</w:t>
      </w:r>
      <w:bookmarkStart w:id="188" w:name="_Toc318581171"/>
      <w:bookmarkStart w:id="189" w:name="_Toc312678014"/>
      <w:r>
        <w:rPr>
          <w:rFonts w:hint="eastAsia" w:ascii="宋体" w:hAnsi="宋体" w:eastAsia="宋体" w:cs="宋体"/>
          <w:color w:val="auto"/>
          <w:sz w:val="24"/>
          <w:szCs w:val="24"/>
        </w:rPr>
        <w:t>期竣工违约金的上限：</w:t>
      </w:r>
      <w:r>
        <w:rPr>
          <w:rFonts w:hint="eastAsia" w:ascii="宋体" w:hAnsi="宋体" w:eastAsia="宋体" w:cs="宋体"/>
          <w:b/>
          <w:color w:val="auto"/>
          <w:sz w:val="24"/>
          <w:szCs w:val="24"/>
          <w:u w:val="single"/>
        </w:rPr>
        <w:t xml:space="preserve"> 合同价的5% </w:t>
      </w:r>
      <w:r>
        <w:rPr>
          <w:rFonts w:hint="eastAsia" w:ascii="宋体" w:hAnsi="宋体" w:eastAsia="宋体" w:cs="宋体"/>
          <w:color w:val="auto"/>
          <w:sz w:val="24"/>
          <w:szCs w:val="24"/>
        </w:rPr>
        <w:t>。</w:t>
      </w:r>
    </w:p>
    <w:bookmarkEnd w:id="188"/>
    <w:bookmarkEnd w:id="189"/>
    <w:p w14:paraId="38B976EE">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7</w:t>
      </w:r>
      <w:bookmarkStart w:id="190" w:name="_Toc297216178"/>
      <w:bookmarkStart w:id="191" w:name="_Toc312678015"/>
      <w:bookmarkStart w:id="192" w:name="_Toc297123519"/>
      <w:bookmarkStart w:id="193" w:name="_Toc303539128"/>
      <w:bookmarkStart w:id="194" w:name="_Toc300934971"/>
      <w:bookmarkStart w:id="195" w:name="_Toc304295549"/>
      <w:r>
        <w:rPr>
          <w:rFonts w:hint="eastAsia" w:ascii="宋体" w:hAnsi="宋体" w:eastAsia="宋体" w:cs="宋体"/>
          <w:color w:val="auto"/>
          <w:sz w:val="24"/>
          <w:szCs w:val="24"/>
        </w:rPr>
        <w:t>.6 不</w:t>
      </w:r>
      <w:bookmarkEnd w:id="190"/>
      <w:bookmarkEnd w:id="191"/>
      <w:bookmarkEnd w:id="192"/>
      <w:bookmarkEnd w:id="193"/>
      <w:bookmarkEnd w:id="194"/>
      <w:bookmarkEnd w:id="195"/>
      <w:r>
        <w:rPr>
          <w:rFonts w:hint="eastAsia" w:ascii="宋体" w:hAnsi="宋体" w:eastAsia="宋体" w:cs="宋体"/>
          <w:color w:val="auto"/>
          <w:sz w:val="24"/>
          <w:szCs w:val="24"/>
        </w:rPr>
        <w:t xml:space="preserve">利物质条件 </w:t>
      </w:r>
    </w:p>
    <w:p w14:paraId="5AE935EC">
      <w:pPr>
        <w:adjustRightInd w:val="0"/>
        <w:snapToGrid w:val="0"/>
        <w:spacing w:line="440" w:lineRule="exact"/>
        <w:ind w:firstLine="480" w:firstLineChars="200"/>
        <w:jc w:val="left"/>
        <w:rPr>
          <w:rFonts w:hint="eastAsia" w:ascii="宋体" w:hAnsi="宋体" w:eastAsia="宋体" w:cs="宋体"/>
          <w:color w:val="auto"/>
          <w:sz w:val="24"/>
          <w:szCs w:val="24"/>
        </w:rPr>
      </w:pPr>
      <w:bookmarkStart w:id="196" w:name="_Toc303539129"/>
      <w:bookmarkStart w:id="197" w:name="_Toc297123520"/>
      <w:bookmarkStart w:id="198" w:name="_Toc297216179"/>
      <w:bookmarkStart w:id="199" w:name="_Toc300934972"/>
      <w:bookmarkStart w:id="200" w:name="_Toc318581172"/>
      <w:bookmarkStart w:id="201" w:name="_Toc304295550"/>
      <w:bookmarkStart w:id="202" w:name="_Toc312678016"/>
      <w:r>
        <w:rPr>
          <w:rFonts w:hint="eastAsia" w:ascii="宋体" w:hAnsi="宋体" w:eastAsia="宋体" w:cs="宋体"/>
          <w:color w:val="auto"/>
          <w:sz w:val="24"/>
          <w:szCs w:val="24"/>
        </w:rPr>
        <w:t>不利物质条件的其他情形和有关约定：</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按通用条款</w:t>
      </w:r>
      <w:r>
        <w:rPr>
          <w:rFonts w:hint="eastAsia" w:ascii="宋体" w:hAnsi="宋体" w:eastAsia="宋体" w:cs="宋体"/>
          <w:color w:val="auto"/>
          <w:sz w:val="24"/>
          <w:szCs w:val="24"/>
        </w:rPr>
        <w:t>。</w:t>
      </w:r>
    </w:p>
    <w:bookmarkEnd w:id="196"/>
    <w:bookmarkEnd w:id="197"/>
    <w:bookmarkEnd w:id="198"/>
    <w:bookmarkEnd w:id="199"/>
    <w:bookmarkEnd w:id="200"/>
    <w:bookmarkEnd w:id="201"/>
    <w:bookmarkEnd w:id="202"/>
    <w:p w14:paraId="60F64149">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7</w:t>
      </w:r>
      <w:bookmarkStart w:id="203" w:name="_Toc297123521"/>
      <w:bookmarkStart w:id="204" w:name="_Toc297216180"/>
      <w:bookmarkStart w:id="205" w:name="_Toc303539130"/>
      <w:bookmarkStart w:id="206" w:name="_Toc304295551"/>
      <w:bookmarkStart w:id="207" w:name="_Toc300934973"/>
      <w:bookmarkStart w:id="208" w:name="_Toc312678017"/>
      <w:r>
        <w:rPr>
          <w:rFonts w:hint="eastAsia" w:ascii="宋体" w:hAnsi="宋体" w:eastAsia="宋体" w:cs="宋体"/>
          <w:color w:val="auto"/>
          <w:sz w:val="24"/>
          <w:szCs w:val="24"/>
        </w:rPr>
        <w:t>.7异常恶劣的气候条件</w:t>
      </w:r>
    </w:p>
    <w:bookmarkEnd w:id="203"/>
    <w:bookmarkEnd w:id="204"/>
    <w:bookmarkEnd w:id="205"/>
    <w:bookmarkEnd w:id="206"/>
    <w:bookmarkEnd w:id="207"/>
    <w:bookmarkEnd w:id="208"/>
    <w:p w14:paraId="200D316A">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双方在确定竣工日期、施工工期及各控制点工期时，已充分考虑可能出现的各种形式的雨雪、冰雹、台风、高温天气、低温天气、停水、停电、节假日、扰民和民扰、市政影响等不利因素及发包人分包工程的影响，因此施工过程中除本合同7.5.1规定的情况外，不管发生任何情况，均不顺延工期。</w:t>
      </w:r>
    </w:p>
    <w:p w14:paraId="5BFDE5E0">
      <w:pPr>
        <w:adjustRightInd w:val="0"/>
        <w:snapToGrid w:val="0"/>
        <w:spacing w:line="44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7.9 提前竣工的奖励</w:t>
      </w:r>
    </w:p>
    <w:p w14:paraId="15AA5067">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7.9.2提前竣工的奖励：</w:t>
      </w:r>
      <w:r>
        <w:rPr>
          <w:rFonts w:hint="eastAsia" w:ascii="宋体" w:hAnsi="宋体" w:eastAsia="宋体" w:cs="宋体"/>
          <w:color w:val="auto"/>
          <w:sz w:val="24"/>
          <w:szCs w:val="24"/>
          <w:u w:val="single"/>
        </w:rPr>
        <w:t xml:space="preserve">  </w:t>
      </w:r>
      <w:r>
        <w:rPr>
          <w:rFonts w:hint="eastAsia" w:ascii="宋体" w:hAnsi="宋体" w:eastAsia="宋体" w:cs="宋体"/>
          <w:b/>
          <w:bCs/>
          <w:color w:val="auto"/>
          <w:sz w:val="24"/>
          <w:szCs w:val="24"/>
          <w:u w:val="single"/>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0F314A03">
      <w:pPr>
        <w:keepNext/>
        <w:keepLines/>
        <w:adjustRightInd w:val="0"/>
        <w:snapToGrid w:val="0"/>
        <w:spacing w:line="440" w:lineRule="exact"/>
        <w:ind w:firstLine="480" w:firstLineChars="200"/>
        <w:outlineLvl w:val="3"/>
        <w:rPr>
          <w:rFonts w:hint="eastAsia" w:ascii="宋体" w:hAnsi="宋体" w:eastAsia="宋体" w:cs="宋体"/>
          <w:bCs/>
          <w:color w:val="auto"/>
          <w:sz w:val="24"/>
          <w:szCs w:val="24"/>
        </w:rPr>
      </w:pPr>
      <w:bookmarkStart w:id="209" w:name="_Toc351203640"/>
      <w:r>
        <w:rPr>
          <w:rFonts w:hint="eastAsia" w:ascii="宋体" w:hAnsi="宋体" w:eastAsia="宋体" w:cs="宋体"/>
          <w:bCs/>
          <w:color w:val="auto"/>
          <w:sz w:val="24"/>
          <w:szCs w:val="24"/>
        </w:rPr>
        <w:t>8. 材料与设备</w:t>
      </w:r>
      <w:bookmarkEnd w:id="209"/>
    </w:p>
    <w:p w14:paraId="6767D261">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8</w:t>
      </w:r>
      <w:bookmarkStart w:id="210" w:name="_Toc297216186"/>
      <w:bookmarkStart w:id="211" w:name="_Toc292559372"/>
      <w:bookmarkStart w:id="212" w:name="_Toc292559877"/>
      <w:bookmarkStart w:id="213" w:name="_Toc300934979"/>
      <w:bookmarkStart w:id="214" w:name="_Toc296346668"/>
      <w:bookmarkStart w:id="215" w:name="_Toc297120467"/>
      <w:bookmarkStart w:id="216" w:name="_Toc303539136"/>
      <w:bookmarkStart w:id="217" w:name="_Toc304295556"/>
      <w:bookmarkStart w:id="218" w:name="_Toc296944506"/>
      <w:bookmarkStart w:id="219" w:name="_Toc296347166"/>
      <w:bookmarkStart w:id="220" w:name="_Toc312678019"/>
      <w:bookmarkStart w:id="221" w:name="_Toc297048353"/>
      <w:bookmarkStart w:id="222" w:name="_Toc296890995"/>
      <w:bookmarkStart w:id="223" w:name="_Toc296891207"/>
      <w:bookmarkStart w:id="224" w:name="_Toc297123527"/>
      <w:bookmarkStart w:id="225" w:name="_Toc312677493"/>
      <w:bookmarkStart w:id="226" w:name="_Toc280868654"/>
      <w:bookmarkStart w:id="227" w:name="_Toc296503167"/>
      <w:bookmarkStart w:id="228" w:name="_Toc280868655"/>
      <w:bookmarkStart w:id="229" w:name="_Toc280868656"/>
      <w:bookmarkStart w:id="230" w:name="_Toc267251424"/>
      <w:r>
        <w:rPr>
          <w:rFonts w:hint="eastAsia" w:ascii="宋体" w:hAnsi="宋体" w:eastAsia="宋体" w:cs="宋体"/>
          <w:color w:val="auto"/>
          <w:sz w:val="24"/>
          <w:szCs w:val="24"/>
        </w:rPr>
        <w:t>.4材料与工程设备的保管与使用</w:t>
      </w:r>
    </w:p>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14:paraId="48E5B19E">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8</w:t>
      </w:r>
      <w:bookmarkStart w:id="231" w:name="_Toc292559878"/>
      <w:bookmarkStart w:id="232" w:name="_Toc292559373"/>
      <w:bookmarkStart w:id="233" w:name="_Toc296347167"/>
      <w:bookmarkStart w:id="234" w:name="_Toc304295557"/>
      <w:bookmarkStart w:id="235" w:name="_Toc303539137"/>
      <w:bookmarkStart w:id="236" w:name="_Toc297048354"/>
      <w:bookmarkStart w:id="237" w:name="_Toc296346669"/>
      <w:bookmarkStart w:id="238" w:name="_Toc318581173"/>
      <w:bookmarkStart w:id="239" w:name="_Toc297216187"/>
      <w:bookmarkStart w:id="240" w:name="_Toc297123528"/>
      <w:bookmarkStart w:id="241" w:name="_Toc296890996"/>
      <w:bookmarkStart w:id="242" w:name="_Toc296503168"/>
      <w:bookmarkStart w:id="243" w:name="_Toc300934980"/>
      <w:bookmarkStart w:id="244" w:name="_Toc296891208"/>
      <w:bookmarkStart w:id="245" w:name="_Toc312677494"/>
      <w:bookmarkStart w:id="246" w:name="_Toc296944507"/>
      <w:bookmarkStart w:id="247" w:name="_Toc312678020"/>
      <w:bookmarkStart w:id="248" w:name="_Toc297120468"/>
      <w:r>
        <w:rPr>
          <w:rFonts w:hint="eastAsia" w:ascii="宋体" w:hAnsi="宋体" w:eastAsia="宋体" w:cs="宋体"/>
          <w:color w:val="auto"/>
          <w:sz w:val="24"/>
          <w:szCs w:val="24"/>
        </w:rPr>
        <w:t>.4.1发包人供应的材料设备的保管费用的承担：</w:t>
      </w:r>
      <w:r>
        <w:rPr>
          <w:rFonts w:hint="eastAsia" w:ascii="宋体" w:hAnsi="宋体" w:eastAsia="宋体" w:cs="宋体"/>
          <w:color w:val="auto"/>
          <w:sz w:val="24"/>
          <w:szCs w:val="24"/>
          <w:u w:val="single"/>
        </w:rPr>
        <w:t xml:space="preserve"> </w:t>
      </w:r>
      <w:r>
        <w:rPr>
          <w:rFonts w:hint="eastAsia" w:ascii="宋体" w:hAnsi="宋体" w:eastAsia="宋体" w:cs="宋体"/>
          <w:b/>
          <w:bCs/>
          <w:color w:val="auto"/>
          <w:sz w:val="24"/>
          <w:szCs w:val="24"/>
          <w:u w:val="single"/>
        </w:rPr>
        <w:t xml:space="preserve"> /</w:t>
      </w:r>
      <w:r>
        <w:rPr>
          <w:rFonts w:hint="eastAsia" w:ascii="宋体" w:hAnsi="宋体" w:eastAsia="宋体" w:cs="宋体"/>
          <w:color w:val="auto"/>
          <w:sz w:val="24"/>
          <w:szCs w:val="24"/>
        </w:rPr>
        <w:t>。</w:t>
      </w:r>
      <w:bookmarkEnd w:id="231"/>
      <w:bookmarkEnd w:id="232"/>
    </w:p>
    <w:p w14:paraId="30BAF40C">
      <w:pPr>
        <w:adjustRightInd w:val="0"/>
        <w:snapToGrid w:val="0"/>
        <w:spacing w:line="44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8.6 样品</w:t>
      </w:r>
    </w:p>
    <w:p w14:paraId="6C0B526E">
      <w:pPr>
        <w:autoSpaceDE w:val="0"/>
        <w:autoSpaceDN w:val="0"/>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8.6.1样品的报送与封存</w:t>
      </w:r>
    </w:p>
    <w:p w14:paraId="144C7476">
      <w:pPr>
        <w:autoSpaceDE w:val="0"/>
        <w:autoSpaceDN w:val="0"/>
        <w:adjustRightInd w:val="0"/>
        <w:snapToGrid w:val="0"/>
        <w:spacing w:line="440" w:lineRule="exact"/>
        <w:ind w:firstLine="480" w:firstLineChars="200"/>
        <w:jc w:val="left"/>
        <w:rPr>
          <w:rFonts w:hint="eastAsia" w:ascii="宋体" w:hAnsi="宋体" w:eastAsia="宋体" w:cs="宋体"/>
          <w:b/>
          <w:color w:val="auto"/>
          <w:sz w:val="24"/>
          <w:szCs w:val="24"/>
          <w:u w:val="single"/>
        </w:rPr>
      </w:pPr>
      <w:r>
        <w:rPr>
          <w:rFonts w:hint="eastAsia" w:ascii="宋体" w:hAnsi="宋体" w:eastAsia="宋体" w:cs="宋体"/>
          <w:color w:val="auto"/>
          <w:sz w:val="24"/>
          <w:szCs w:val="24"/>
        </w:rPr>
        <w:t>需要承包人报送样品的材料或工程设备，样品的种类、名称、规格、数量要求：</w:t>
      </w:r>
      <w:r>
        <w:rPr>
          <w:rFonts w:hint="eastAsia" w:ascii="宋体" w:hAnsi="宋体" w:eastAsia="宋体" w:cs="宋体"/>
          <w:b/>
          <w:color w:val="auto"/>
          <w:sz w:val="24"/>
          <w:szCs w:val="24"/>
          <w:u w:val="single"/>
        </w:rPr>
        <w:t>本工程的所有材料，均由承包人按设计文件及规范要求自行采购和保管。承包人供应的材料和设备，必须按有关规定向发包人提供相应的出厂证明、合格证、质保书、化验检测报告等。承包人必须在监理人现场见证的情况下取样、封样和送样，样品须送至发包人指定的试验检测机构进行检测，否则不予认可。一次性试验合格的，检验或试验费用由发包人承担，一次性试验不合格的，复检的所有费用由承包人承担。</w:t>
      </w:r>
    </w:p>
    <w:p w14:paraId="47B0BEDC">
      <w:pPr>
        <w:spacing w:line="440" w:lineRule="exact"/>
        <w:ind w:firstLine="482" w:firstLineChars="200"/>
        <w:jc w:val="left"/>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 xml:space="preserve">发包人和监理人有权对承包人提供的材料和设备进行抽检，对不符合设计要求及验收规范的材料和设备，有权终止使用，发生的一切损失和费用由承包人承担，由此延误的工期不予顺延。 </w:t>
      </w:r>
    </w:p>
    <w:p w14:paraId="079F713A">
      <w:pPr>
        <w:spacing w:line="440" w:lineRule="exact"/>
        <w:ind w:firstLine="482" w:firstLineChars="200"/>
        <w:jc w:val="left"/>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发包人和监理工程师对材料的决定或认可并不解除承包人应负的质量、工期的责任，也不免除承包人对材料应负的责任。承包人采购的材料与设计或规范要求不符时，承包人应按监理工程师要求的时间运出施工场地。重新采购符合要求的产品，承担由此发生的费用，由此延误的工期不予顺延。</w:t>
      </w:r>
    </w:p>
    <w:p w14:paraId="1305F240">
      <w:pPr>
        <w:spacing w:line="440" w:lineRule="exact"/>
        <w:ind w:firstLine="482" w:firstLineChars="200"/>
        <w:jc w:val="left"/>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发包人在招标时推荐品牌和厂家材料范围的，承包人在实际采购前，必须由发包人和监理认质认生产厂家后方可采购。发包人未推荐品牌的，承包人应考虑使用国产中档及以上且符合国家标准的合格产品价格（承包人充分考虑市场价格风险，一旦中标，材料价格不作调整），并提交发包人确认后方可采购使用。</w:t>
      </w:r>
    </w:p>
    <w:p w14:paraId="70866509">
      <w:pPr>
        <w:spacing w:line="440" w:lineRule="exact"/>
        <w:ind w:firstLine="482" w:firstLineChars="200"/>
        <w:jc w:val="left"/>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在实际施工中，承包人必须提供样品报发包人、监理书面认可，否则，发包人可以要求承包人无条件更换不符合要求的产品，购进的材料设备与提供的样品不一致时，由承包人无条件退货，如因使用不符合国家标准及各项指标的材料，由此引起的相关费用由承包人承担，结算时一律不作调整。乙供材料无特殊情况时，应由承包人采购。因承包人原因所采购材料等无法满足发包人要求时，发包人有权在</w:t>
      </w:r>
      <w:r>
        <w:rPr>
          <w:rFonts w:hint="eastAsia" w:ascii="宋体" w:hAnsi="宋体" w:cs="宋体"/>
          <w:b/>
          <w:color w:val="auto"/>
          <w:sz w:val="24"/>
          <w:szCs w:val="24"/>
          <w:u w:val="single"/>
          <w:lang w:eastAsia="zh-CN"/>
        </w:rPr>
        <w:t>最高投标限价</w:t>
      </w:r>
      <w:r>
        <w:rPr>
          <w:rFonts w:hint="eastAsia" w:ascii="宋体" w:hAnsi="宋体" w:eastAsia="宋体" w:cs="宋体"/>
          <w:b/>
          <w:color w:val="auto"/>
          <w:sz w:val="24"/>
          <w:szCs w:val="24"/>
          <w:u w:val="single"/>
        </w:rPr>
        <w:t>范围内采购并计取管理费，所产生的费用均由承包人承担。若因非发包人原因而承包人又不愿采购时，发包人可自行采购，且发包人有权按购买额的5%向承包人收取违约金。</w:t>
      </w:r>
    </w:p>
    <w:p w14:paraId="3C25BD7B">
      <w:pPr>
        <w:spacing w:line="440" w:lineRule="exact"/>
        <w:ind w:firstLine="482" w:firstLineChars="200"/>
        <w:jc w:val="left"/>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招标时暂定价和认质认价材料发包人保留甲供或另行发包权利。</w:t>
      </w:r>
    </w:p>
    <w:p w14:paraId="3540ACE5">
      <w:pPr>
        <w:spacing w:line="440" w:lineRule="exact"/>
        <w:ind w:firstLine="482" w:firstLineChars="200"/>
        <w:jc w:val="left"/>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 xml:space="preserve">承包人对专业分包单位采购的材料，承包人应该对各种材料、器材、设备按规范进行检查，拒绝不符合要求的材料、器材、设备用于工程。无论何种原因，承包人在工程中使用不合格材料，除更换合格材料外，还应按本合同3.1条规定的条款进行处罚。 </w:t>
      </w:r>
    </w:p>
    <w:p w14:paraId="3D63ECDF">
      <w:pPr>
        <w:autoSpaceDE w:val="0"/>
        <w:autoSpaceDN w:val="0"/>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8.8 施工设备和临时设施</w:t>
      </w:r>
    </w:p>
    <w:p w14:paraId="6A2C7B78">
      <w:pPr>
        <w:autoSpaceDE w:val="0"/>
        <w:autoSpaceDN w:val="0"/>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8.8.1 承包人提供的施工设备和临时设施</w:t>
      </w:r>
    </w:p>
    <w:p w14:paraId="2F638587">
      <w:pPr>
        <w:autoSpaceDE w:val="0"/>
        <w:autoSpaceDN w:val="0"/>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关于修建临时设施费用承担的约定：</w:t>
      </w:r>
      <w:r>
        <w:rPr>
          <w:rFonts w:hint="eastAsia" w:ascii="宋体" w:hAnsi="宋体" w:eastAsia="宋体" w:cs="宋体"/>
          <w:b/>
          <w:color w:val="auto"/>
          <w:sz w:val="24"/>
          <w:szCs w:val="24"/>
          <w:u w:val="single"/>
        </w:rPr>
        <w:t>由承包人承担</w:t>
      </w:r>
      <w:r>
        <w:rPr>
          <w:rFonts w:hint="eastAsia" w:ascii="宋体" w:hAnsi="宋体" w:eastAsia="宋体" w:cs="宋体"/>
          <w:color w:val="auto"/>
          <w:sz w:val="24"/>
          <w:szCs w:val="24"/>
        </w:rPr>
        <w:t>。</w:t>
      </w:r>
    </w:p>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14:paraId="42AD429F">
      <w:pPr>
        <w:keepNext/>
        <w:keepLines/>
        <w:adjustRightInd w:val="0"/>
        <w:snapToGrid w:val="0"/>
        <w:spacing w:line="440" w:lineRule="exact"/>
        <w:ind w:firstLine="480" w:firstLineChars="200"/>
        <w:outlineLvl w:val="3"/>
        <w:rPr>
          <w:rFonts w:hint="eastAsia" w:ascii="宋体" w:hAnsi="宋体" w:eastAsia="宋体" w:cs="宋体"/>
          <w:bCs/>
          <w:color w:val="auto"/>
          <w:sz w:val="24"/>
          <w:szCs w:val="24"/>
        </w:rPr>
      </w:pPr>
      <w:bookmarkStart w:id="249" w:name="_Toc351203641"/>
      <w:r>
        <w:rPr>
          <w:rFonts w:hint="eastAsia" w:ascii="宋体" w:hAnsi="宋体" w:eastAsia="宋体" w:cs="宋体"/>
          <w:bCs/>
          <w:color w:val="auto"/>
          <w:sz w:val="24"/>
          <w:szCs w:val="24"/>
        </w:rPr>
        <w:t>9</w:t>
      </w:r>
      <w:bookmarkEnd w:id="228"/>
      <w:bookmarkEnd w:id="229"/>
      <w:bookmarkEnd w:id="230"/>
      <w:bookmarkStart w:id="250" w:name="_Toc300934982"/>
      <w:bookmarkStart w:id="251" w:name="_Toc312678021"/>
      <w:bookmarkStart w:id="252" w:name="_Toc312677495"/>
      <w:bookmarkStart w:id="253" w:name="_Toc297123533"/>
      <w:bookmarkStart w:id="254" w:name="_Toc297216192"/>
      <w:bookmarkStart w:id="255" w:name="_Toc304295559"/>
      <w:bookmarkStart w:id="256" w:name="_Toc303539139"/>
      <w:bookmarkStart w:id="257" w:name="_Toc296346674"/>
      <w:bookmarkStart w:id="258" w:name="_Toc296944512"/>
      <w:bookmarkStart w:id="259" w:name="_Toc296891213"/>
      <w:bookmarkStart w:id="260" w:name="_Toc297120473"/>
      <w:bookmarkStart w:id="261" w:name="_Toc296347172"/>
      <w:bookmarkStart w:id="262" w:name="_Toc297048359"/>
      <w:bookmarkStart w:id="263" w:name="_Toc267251428"/>
      <w:bookmarkStart w:id="264" w:name="_Toc267251427"/>
      <w:bookmarkStart w:id="265" w:name="_Toc292559883"/>
      <w:bookmarkStart w:id="266" w:name="_Toc296503173"/>
      <w:bookmarkStart w:id="267" w:name="_Toc292559378"/>
      <w:bookmarkStart w:id="268" w:name="_Toc296891001"/>
      <w:r>
        <w:rPr>
          <w:rFonts w:hint="eastAsia" w:ascii="宋体" w:hAnsi="宋体" w:eastAsia="宋体" w:cs="宋体"/>
          <w:bCs/>
          <w:color w:val="auto"/>
          <w:sz w:val="24"/>
          <w:szCs w:val="24"/>
        </w:rPr>
        <w:t>. 试验与检验</w:t>
      </w:r>
      <w:bookmarkEnd w:id="249"/>
    </w:p>
    <w:bookmarkEnd w:id="250"/>
    <w:bookmarkEnd w:id="251"/>
    <w:bookmarkEnd w:id="252"/>
    <w:bookmarkEnd w:id="253"/>
    <w:bookmarkEnd w:id="254"/>
    <w:bookmarkEnd w:id="255"/>
    <w:bookmarkEnd w:id="256"/>
    <w:p w14:paraId="1F811717">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9</w:t>
      </w:r>
      <w:bookmarkStart w:id="269" w:name="_Toc297123534"/>
      <w:bookmarkStart w:id="270" w:name="_Toc300934983"/>
      <w:bookmarkStart w:id="271" w:name="_Toc312677496"/>
      <w:bookmarkStart w:id="272" w:name="_Toc297216193"/>
      <w:bookmarkStart w:id="273" w:name="_Toc312678022"/>
      <w:bookmarkStart w:id="274" w:name="_Toc304295560"/>
      <w:bookmarkStart w:id="275" w:name="_Toc303539140"/>
      <w:r>
        <w:rPr>
          <w:rFonts w:hint="eastAsia" w:ascii="宋体" w:hAnsi="宋体" w:eastAsia="宋体" w:cs="宋体"/>
          <w:color w:val="auto"/>
          <w:sz w:val="24"/>
          <w:szCs w:val="24"/>
        </w:rPr>
        <w:t>.1试验设备与试验人员</w:t>
      </w:r>
    </w:p>
    <w:bookmarkEnd w:id="269"/>
    <w:bookmarkEnd w:id="270"/>
    <w:bookmarkEnd w:id="271"/>
    <w:bookmarkEnd w:id="272"/>
    <w:bookmarkEnd w:id="273"/>
    <w:bookmarkEnd w:id="274"/>
    <w:bookmarkEnd w:id="275"/>
    <w:p w14:paraId="15E37920">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9</w:t>
      </w:r>
      <w:bookmarkStart w:id="276" w:name="_Toc312677497"/>
      <w:bookmarkStart w:id="277" w:name="_Toc297216194"/>
      <w:bookmarkStart w:id="278" w:name="_Toc300934984"/>
      <w:bookmarkStart w:id="279" w:name="_Toc312678023"/>
      <w:bookmarkStart w:id="280" w:name="_Toc304295561"/>
      <w:bookmarkStart w:id="281" w:name="_Toc297123535"/>
      <w:bookmarkStart w:id="282" w:name="_Toc303539141"/>
      <w:bookmarkStart w:id="283" w:name="_Toc318581174"/>
      <w:r>
        <w:rPr>
          <w:rFonts w:hint="eastAsia" w:ascii="宋体" w:hAnsi="宋体" w:eastAsia="宋体" w:cs="宋体"/>
          <w:color w:val="auto"/>
          <w:sz w:val="24"/>
          <w:szCs w:val="24"/>
        </w:rPr>
        <w:t>.1.2 试验设备</w:t>
      </w:r>
    </w:p>
    <w:p w14:paraId="6D7956D5">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施工现场需要配置的试验场所：</w:t>
      </w:r>
      <w:bookmarkEnd w:id="276"/>
      <w:bookmarkEnd w:id="277"/>
      <w:bookmarkEnd w:id="278"/>
      <w:bookmarkEnd w:id="279"/>
      <w:bookmarkEnd w:id="280"/>
      <w:bookmarkEnd w:id="281"/>
      <w:bookmarkEnd w:id="282"/>
      <w:bookmarkStart w:id="284" w:name="_Toc297123536"/>
      <w:bookmarkStart w:id="285" w:name="_Toc303539142"/>
      <w:bookmarkStart w:id="286" w:name="_Toc300934985"/>
      <w:bookmarkStart w:id="287" w:name="_Toc304295562"/>
      <w:bookmarkStart w:id="288" w:name="_Toc312677498"/>
      <w:bookmarkStart w:id="289" w:name="_Toc297216195"/>
      <w:bookmarkStart w:id="290" w:name="_Toc312678024"/>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按有关规定</w:t>
      </w:r>
      <w:r>
        <w:rPr>
          <w:rFonts w:hint="eastAsia" w:ascii="宋体" w:hAnsi="宋体" w:eastAsia="宋体" w:cs="宋体"/>
          <w:color w:val="auto"/>
          <w:sz w:val="24"/>
          <w:szCs w:val="24"/>
        </w:rPr>
        <w:t xml:space="preserve">。 </w:t>
      </w:r>
    </w:p>
    <w:p w14:paraId="4F006A8A">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施工现场需要配备的试验设备：</w:t>
      </w:r>
      <w:r>
        <w:rPr>
          <w:rFonts w:hint="eastAsia" w:ascii="宋体" w:hAnsi="宋体" w:eastAsia="宋体" w:cs="宋体"/>
          <w:b/>
          <w:color w:val="auto"/>
          <w:sz w:val="24"/>
          <w:szCs w:val="24"/>
          <w:u w:val="single"/>
        </w:rPr>
        <w:t>按有关规定</w:t>
      </w:r>
      <w:r>
        <w:rPr>
          <w:rFonts w:hint="eastAsia" w:ascii="宋体" w:hAnsi="宋体" w:eastAsia="宋体" w:cs="宋体"/>
          <w:color w:val="auto"/>
          <w:sz w:val="24"/>
          <w:szCs w:val="24"/>
        </w:rPr>
        <w:t>。</w:t>
      </w:r>
    </w:p>
    <w:p w14:paraId="314BE267">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施工现场需要具备的其他试验条件：</w:t>
      </w:r>
      <w:r>
        <w:rPr>
          <w:rFonts w:hint="eastAsia" w:ascii="宋体" w:hAnsi="宋体" w:eastAsia="宋体" w:cs="宋体"/>
          <w:color w:val="auto"/>
          <w:sz w:val="24"/>
          <w:szCs w:val="24"/>
          <w:u w:val="single"/>
        </w:rPr>
        <w:t xml:space="preserve">   </w:t>
      </w:r>
      <w:r>
        <w:rPr>
          <w:rFonts w:hint="eastAsia" w:ascii="宋体" w:hAnsi="宋体" w:eastAsia="宋体" w:cs="宋体"/>
          <w:b/>
          <w:bCs/>
          <w:color w:val="auto"/>
          <w:sz w:val="24"/>
          <w:szCs w:val="24"/>
          <w:u w:val="single"/>
        </w:rPr>
        <w:t xml:space="preserve">/  </w:t>
      </w:r>
      <w:r>
        <w:rPr>
          <w:rFonts w:hint="eastAsia" w:ascii="宋体" w:hAnsi="宋体" w:eastAsia="宋体" w:cs="宋体"/>
          <w:color w:val="auto"/>
          <w:sz w:val="24"/>
          <w:szCs w:val="24"/>
        </w:rPr>
        <w:t>。</w:t>
      </w:r>
    </w:p>
    <w:p w14:paraId="1C3817B0">
      <w:pPr>
        <w:adjustRightInd w:val="0"/>
        <w:snapToGrid w:val="0"/>
        <w:spacing w:line="44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 xml:space="preserve">9.4 现场工艺试验 </w:t>
      </w:r>
    </w:p>
    <w:p w14:paraId="592DD437">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现场工艺试验的有关约定：</w:t>
      </w:r>
      <w:r>
        <w:rPr>
          <w:rFonts w:hint="eastAsia" w:ascii="宋体" w:hAnsi="宋体" w:eastAsia="宋体" w:cs="宋体"/>
          <w:color w:val="auto"/>
          <w:sz w:val="24"/>
          <w:szCs w:val="24"/>
          <w:u w:val="single"/>
        </w:rPr>
        <w:t xml:space="preserve">  </w:t>
      </w:r>
      <w:bookmarkEnd w:id="283"/>
      <w:bookmarkEnd w:id="284"/>
      <w:bookmarkEnd w:id="285"/>
      <w:bookmarkEnd w:id="286"/>
      <w:bookmarkEnd w:id="287"/>
      <w:bookmarkEnd w:id="288"/>
      <w:bookmarkEnd w:id="289"/>
      <w:bookmarkEnd w:id="290"/>
      <w:bookmarkStart w:id="291" w:name="_Toc351203642"/>
      <w:r>
        <w:rPr>
          <w:rFonts w:hint="eastAsia" w:ascii="宋体" w:hAnsi="宋体" w:eastAsia="宋体" w:cs="宋体"/>
          <w:b/>
          <w:bCs/>
          <w:color w:val="auto"/>
          <w:sz w:val="24"/>
          <w:szCs w:val="24"/>
          <w:u w:val="single"/>
        </w:rPr>
        <w:t>/</w:t>
      </w:r>
      <w:r>
        <w:rPr>
          <w:rFonts w:hint="eastAsia" w:ascii="宋体" w:hAnsi="宋体" w:eastAsia="宋体" w:cs="宋体"/>
          <w:color w:val="auto"/>
          <w:sz w:val="24"/>
          <w:szCs w:val="24"/>
        </w:rPr>
        <w:t>。</w:t>
      </w:r>
    </w:p>
    <w:p w14:paraId="18909B22">
      <w:pPr>
        <w:adjustRightInd w:val="0"/>
        <w:snapToGrid w:val="0"/>
        <w:spacing w:line="440" w:lineRule="exact"/>
        <w:ind w:firstLine="482" w:firstLineChars="200"/>
        <w:jc w:val="left"/>
        <w:rPr>
          <w:rFonts w:hint="eastAsia" w:ascii="宋体" w:hAnsi="宋体" w:eastAsia="宋体" w:cs="宋体"/>
          <w:b/>
          <w:color w:val="auto"/>
          <w:sz w:val="24"/>
          <w:szCs w:val="24"/>
        </w:rPr>
      </w:pPr>
      <w:r>
        <w:rPr>
          <w:rFonts w:hint="eastAsia" w:ascii="宋体" w:hAnsi="宋体" w:eastAsia="宋体" w:cs="宋体"/>
          <w:b/>
          <w:color w:val="auto"/>
          <w:sz w:val="24"/>
          <w:szCs w:val="24"/>
        </w:rPr>
        <w:t>1</w:t>
      </w:r>
      <w:bookmarkEnd w:id="257"/>
      <w:bookmarkEnd w:id="258"/>
      <w:bookmarkEnd w:id="259"/>
      <w:bookmarkEnd w:id="260"/>
      <w:bookmarkEnd w:id="261"/>
      <w:bookmarkEnd w:id="262"/>
      <w:bookmarkEnd w:id="263"/>
      <w:bookmarkEnd w:id="264"/>
      <w:bookmarkEnd w:id="265"/>
      <w:bookmarkEnd w:id="266"/>
      <w:bookmarkEnd w:id="267"/>
      <w:bookmarkEnd w:id="268"/>
      <w:bookmarkStart w:id="292" w:name="_Toc296891233"/>
      <w:bookmarkStart w:id="293" w:name="_Toc300934989"/>
      <w:bookmarkStart w:id="294" w:name="_Toc292559398"/>
      <w:bookmarkStart w:id="295" w:name="_Toc297120493"/>
      <w:bookmarkStart w:id="296" w:name="_Toc296891021"/>
      <w:bookmarkStart w:id="297" w:name="_Toc296347192"/>
      <w:bookmarkStart w:id="298" w:name="_Toc292559903"/>
      <w:bookmarkStart w:id="299" w:name="_Toc303539146"/>
      <w:bookmarkStart w:id="300" w:name="_Toc296346694"/>
      <w:bookmarkStart w:id="301" w:name="_Toc297216199"/>
      <w:bookmarkStart w:id="302" w:name="_Toc297048379"/>
      <w:bookmarkStart w:id="303" w:name="_Toc297123540"/>
      <w:bookmarkStart w:id="304" w:name="_Toc304295566"/>
      <w:bookmarkStart w:id="305" w:name="_Toc296944532"/>
      <w:bookmarkStart w:id="306" w:name="_Toc296503193"/>
      <w:bookmarkStart w:id="307" w:name="_Toc312678025"/>
      <w:bookmarkStart w:id="308" w:name="_Toc312677499"/>
      <w:r>
        <w:rPr>
          <w:rFonts w:hint="eastAsia" w:ascii="宋体" w:hAnsi="宋体" w:eastAsia="宋体" w:cs="宋体"/>
          <w:b/>
          <w:color w:val="auto"/>
          <w:sz w:val="24"/>
          <w:szCs w:val="24"/>
        </w:rPr>
        <w:t>0. 变更</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bookmarkEnd w:id="307"/>
    <w:bookmarkEnd w:id="308"/>
    <w:p w14:paraId="17D896ED">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10.1变更的范围</w:t>
      </w:r>
    </w:p>
    <w:p w14:paraId="24A649D3">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关于变更的范围的约定：</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按通用条款约定 。</w:t>
      </w:r>
    </w:p>
    <w:p w14:paraId="344CC4C1">
      <w:pPr>
        <w:adjustRightInd w:val="0"/>
        <w:snapToGrid w:val="0"/>
        <w:spacing w:line="44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10.4 变更估价</w:t>
      </w:r>
    </w:p>
    <w:p w14:paraId="4D3EF4E1">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10.4.1 变更估价原则</w:t>
      </w:r>
    </w:p>
    <w:p w14:paraId="72DB9573">
      <w:pPr>
        <w:spacing w:line="44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rPr>
        <w:t>关于变更估价的约定：</w:t>
      </w:r>
    </w:p>
    <w:p w14:paraId="1301BBF1">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1.工程设计变更、补充按照相关规定执行；竣工结算的工程量按发承包双方在合同中约定应予计量且实际完成的工程量确定，完成发包人要求的合同以外的零星工作或发生非承包人责任事件的工程量变更按发包人审批通过的变更指令单为准。</w:t>
      </w:r>
    </w:p>
    <w:p w14:paraId="635F5DD5">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2.监理机构根据工程的特殊情况在书面报发包人审批同意后可进行有关必要的签证工程量，以监理机构签证意见为准。</w:t>
      </w:r>
    </w:p>
    <w:p w14:paraId="28485DDA">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3.承包人在施工中提出合理化建议等涉及到设计变更的，应先征得监理机构及发包人的同意。</w:t>
      </w:r>
    </w:p>
    <w:p w14:paraId="247578FF">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4、工程变更价款调整：详见本合同专用条款12.1 。</w:t>
      </w:r>
    </w:p>
    <w:p w14:paraId="43CBBB64">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5、承包人不得随意更改设计，因承包人自身原因导致的工程变更，承包人无权要求追加合同价款。</w:t>
      </w:r>
    </w:p>
    <w:p w14:paraId="30D71CBD">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 xml:space="preserve">6、承包人接受发包人发出的变更通知单后 14 日内（从通知单盖章签收日期计算），向发包人递交完整变更签证费用计算书；逾期申报的，增加费用的变更签证在结算时只支付终审价格的70%，减少费用的变更签证由承包方自动扣减；逾期14天以上（即接到变更通知单28日以上）未申报的，增加费用的变更签证在结算时不予考虑，减少费用的变更签证由承包方自动扣减并对承包人处以审核造价5%的违约金。  </w:t>
      </w:r>
    </w:p>
    <w:p w14:paraId="59DA36BD">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 xml:space="preserve">7、如遇危及生命、工程或工程相邻财产安全的紧急情况时，以发包人部门负责人口头请示公司领导立即会同监理工程师采取必要处理措施，保证生命和财产安全。但在实施起7个工作日内，双方必须按照实事求是原则办理相关手续，方可作为结算依据。 </w:t>
      </w:r>
    </w:p>
    <w:p w14:paraId="4C65527E">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 xml:space="preserve">8、当变更、签证的工作内容完成之后，承包人要及时督促监理和发包人代表在完工后7日内签字确认，否则发包方可以不予支付费用。对于隐蔽工程和事后无法计算工程量的变更和签证，必须在覆盖或拆除前，会同监理、发包人代表、工程部负责人共同完成工程量的确认，否则发包人可以不计价款。 </w:t>
      </w:r>
    </w:p>
    <w:p w14:paraId="381C6252">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 xml:space="preserve">10、须发包人认质认价的材料，由承包人提前15天以上向发包人提出。 </w:t>
      </w:r>
    </w:p>
    <w:p w14:paraId="6E43FF70">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11、合同履约中，双方填制的变更、签证通知单以及办理相关手续，都应严格按照发包人的内部工作管理制度执行，按顺序进行统一分类编号，并附有相应的真实图片及发生的费用，否则发包人可以不予审核费用。</w:t>
      </w:r>
    </w:p>
    <w:p w14:paraId="7FF6D09E">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 xml:space="preserve">12、承包人作为有经验的承包商，对工程技术及施工图纸中的问题应提前发现，并在图纸会审时或按照技术核定单的形式及时提出；如果承包人由于各种原因不提出或未及时提出而导致工程产生的质量、进度、安全、成本等问题及后果，承包人承担一切责任。 </w:t>
      </w:r>
    </w:p>
    <w:p w14:paraId="00077040">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 xml:space="preserve">13、工程结算时，承包人须将完整的变更签证资料装订成册作为结算书一部分，变更签证资料应包括：①双方确认的造价审定单；②变更签证通知单及完成回执；③申报的变更签证预算书；④原合同相同工作内容的综合单价；⑤套用定额编号的分部分项工程费计价表及计价分析表，清单措施项目费计价表及计价分析表其他项目费表、单位工程费汇总表；⑥甲供材料和主要材料表；⑦变更签证单原件及所有相关的往来函件、其他需要说明的与造价有关的问题。 </w:t>
      </w:r>
    </w:p>
    <w:p w14:paraId="2B3F8CA1">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14、竣工验收后提供电子版的竣工测绘图，费用由承包人在报价时一并考虑。</w:t>
      </w:r>
    </w:p>
    <w:p w14:paraId="5BCD532B">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bookmarkStart w:id="309" w:name="_Toc297120497"/>
      <w:bookmarkStart w:id="310" w:name="_Toc296346698"/>
      <w:bookmarkStart w:id="311" w:name="_Toc292559907"/>
      <w:bookmarkStart w:id="312" w:name="_Toc300934993"/>
      <w:bookmarkStart w:id="313" w:name="_Toc297048383"/>
      <w:bookmarkStart w:id="314" w:name="_Toc296891237"/>
      <w:bookmarkStart w:id="315" w:name="_Toc296503197"/>
      <w:bookmarkStart w:id="316" w:name="_Toc296891025"/>
      <w:bookmarkStart w:id="317" w:name="_Toc297216203"/>
      <w:bookmarkStart w:id="318" w:name="_Toc297123544"/>
      <w:bookmarkStart w:id="319" w:name="_Toc296944536"/>
      <w:bookmarkStart w:id="320" w:name="_Toc303539150"/>
      <w:bookmarkStart w:id="321" w:name="_Toc292559402"/>
      <w:bookmarkStart w:id="322" w:name="_Toc296347196"/>
      <w:bookmarkStart w:id="323" w:name="_Toc312677503"/>
      <w:bookmarkStart w:id="324" w:name="_Toc304295570"/>
      <w:bookmarkStart w:id="325" w:name="_Toc312678029"/>
      <w:r>
        <w:rPr>
          <w:rFonts w:hint="eastAsia" w:ascii="宋体" w:hAnsi="宋体" w:eastAsia="宋体" w:cs="宋体"/>
          <w:color w:val="auto"/>
          <w:sz w:val="24"/>
          <w:szCs w:val="24"/>
        </w:rPr>
        <w:t>0.5承</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Start w:id="326" w:name="_Toc296891243"/>
      <w:bookmarkStart w:id="327" w:name="_Toc297216204"/>
      <w:bookmarkStart w:id="328" w:name="_Toc296347202"/>
      <w:bookmarkStart w:id="329" w:name="_Toc296346704"/>
      <w:bookmarkStart w:id="330" w:name="_Toc297048389"/>
      <w:bookmarkStart w:id="331" w:name="_Toc297123545"/>
      <w:bookmarkStart w:id="332" w:name="_Toc300934994"/>
      <w:bookmarkStart w:id="333" w:name="_Toc292559408"/>
      <w:bookmarkStart w:id="334" w:name="_Toc296503203"/>
      <w:bookmarkStart w:id="335" w:name="_Toc303539151"/>
      <w:bookmarkStart w:id="336" w:name="_Toc296944542"/>
      <w:bookmarkStart w:id="337" w:name="_Toc297120503"/>
      <w:bookmarkStart w:id="338" w:name="_Toc292559913"/>
      <w:bookmarkStart w:id="339" w:name="_Toc296891031"/>
      <w:r>
        <w:rPr>
          <w:rFonts w:hint="eastAsia" w:ascii="宋体" w:hAnsi="宋体" w:eastAsia="宋体" w:cs="宋体"/>
          <w:color w:val="auto"/>
          <w:sz w:val="24"/>
          <w:szCs w:val="24"/>
        </w:rPr>
        <w:t>包人的合理化建议</w:t>
      </w:r>
    </w:p>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14:paraId="31F40AE1">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监理人审查承包人合理化建议的期限：</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3日内</w:t>
      </w:r>
      <w:r>
        <w:rPr>
          <w:rFonts w:hint="eastAsia" w:ascii="宋体" w:hAnsi="宋体" w:eastAsia="宋体" w:cs="宋体"/>
          <w:color w:val="auto"/>
          <w:sz w:val="24"/>
          <w:szCs w:val="24"/>
        </w:rPr>
        <w:t>。</w:t>
      </w:r>
    </w:p>
    <w:p w14:paraId="2EB639EB">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发包人审批承包人合理化建议的期限：</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7日内</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38BF8F77">
      <w:pPr>
        <w:adjustRightInd w:val="0"/>
        <w:snapToGrid w:val="0"/>
        <w:spacing w:line="440" w:lineRule="exact"/>
        <w:ind w:firstLine="480" w:firstLineChars="200"/>
        <w:jc w:val="left"/>
        <w:rPr>
          <w:rFonts w:hint="eastAsia" w:ascii="宋体" w:hAnsi="宋体" w:eastAsia="宋体" w:cs="宋体"/>
          <w:color w:val="auto"/>
          <w:sz w:val="24"/>
          <w:szCs w:val="24"/>
          <w:u w:val="single"/>
        </w:rPr>
      </w:pPr>
      <w:r>
        <w:rPr>
          <w:rFonts w:hint="eastAsia" w:ascii="宋体" w:hAnsi="宋体" w:eastAsia="宋体" w:cs="宋体"/>
          <w:color w:val="auto"/>
          <w:sz w:val="24"/>
          <w:szCs w:val="24"/>
        </w:rPr>
        <w:t>承</w:t>
      </w:r>
      <w:bookmarkStart w:id="340" w:name="_Toc296347203"/>
      <w:bookmarkStart w:id="341" w:name="_Toc296891244"/>
      <w:bookmarkStart w:id="342" w:name="_Toc296891032"/>
      <w:bookmarkStart w:id="343" w:name="_Toc312677504"/>
      <w:bookmarkStart w:id="344" w:name="_Toc296503204"/>
      <w:bookmarkStart w:id="345" w:name="_Toc292559409"/>
      <w:bookmarkStart w:id="346" w:name="_Toc318581175"/>
      <w:bookmarkStart w:id="347" w:name="_Toc297048390"/>
      <w:bookmarkStart w:id="348" w:name="_Toc296346705"/>
      <w:bookmarkStart w:id="349" w:name="_Toc304295571"/>
      <w:bookmarkStart w:id="350" w:name="_Toc300934995"/>
      <w:bookmarkStart w:id="351" w:name="_Toc297123546"/>
      <w:bookmarkStart w:id="352" w:name="_Toc312678030"/>
      <w:bookmarkStart w:id="353" w:name="_Toc292559914"/>
      <w:bookmarkStart w:id="354" w:name="_Toc303539152"/>
      <w:bookmarkStart w:id="355" w:name="_Toc296944543"/>
      <w:bookmarkStart w:id="356" w:name="_Toc297216205"/>
      <w:bookmarkStart w:id="357" w:name="_Toc297120504"/>
      <w:r>
        <w:rPr>
          <w:rFonts w:hint="eastAsia" w:ascii="宋体" w:hAnsi="宋体" w:eastAsia="宋体" w:cs="宋体"/>
          <w:color w:val="auto"/>
          <w:sz w:val="24"/>
          <w:szCs w:val="24"/>
        </w:rPr>
        <w:t>包人提出的合理化建议降低了合同价格或者提高了工程经济效益的奖励的方法和金额为：</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14:paraId="1F5C997F">
      <w:pPr>
        <w:adjustRightInd w:val="0"/>
        <w:snapToGrid w:val="0"/>
        <w:spacing w:line="44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1</w:t>
      </w:r>
      <w:bookmarkStart w:id="358" w:name="_Toc312678033"/>
      <w:bookmarkStart w:id="359" w:name="_Toc296346700"/>
      <w:bookmarkStart w:id="360" w:name="_Toc300934997"/>
      <w:bookmarkStart w:id="361" w:name="_Toc296891239"/>
      <w:bookmarkStart w:id="362" w:name="_Toc297123548"/>
      <w:bookmarkStart w:id="363" w:name="_Toc304295574"/>
      <w:bookmarkStart w:id="364" w:name="_Toc297216207"/>
      <w:bookmarkStart w:id="365" w:name="_Toc296891027"/>
      <w:bookmarkStart w:id="366" w:name="_Toc297120499"/>
      <w:bookmarkStart w:id="367" w:name="_Toc296347198"/>
      <w:bookmarkStart w:id="368" w:name="_Toc296503199"/>
      <w:bookmarkStart w:id="369" w:name="_Toc312677507"/>
      <w:bookmarkStart w:id="370" w:name="_Toc296944538"/>
      <w:bookmarkStart w:id="371" w:name="_Toc292559404"/>
      <w:bookmarkStart w:id="372" w:name="_Toc303539154"/>
      <w:bookmarkStart w:id="373" w:name="_Toc297048385"/>
      <w:bookmarkStart w:id="374" w:name="_Toc292559909"/>
      <w:r>
        <w:rPr>
          <w:rFonts w:hint="eastAsia" w:ascii="宋体" w:hAnsi="宋体" w:eastAsia="宋体" w:cs="宋体"/>
          <w:color w:val="auto"/>
          <w:sz w:val="24"/>
          <w:szCs w:val="24"/>
        </w:rPr>
        <w:t>0.7 暂估价</w:t>
      </w:r>
    </w:p>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14:paraId="047E3459">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暂</w:t>
      </w:r>
      <w:bookmarkStart w:id="375" w:name="_Toc312677508"/>
      <w:bookmarkStart w:id="376" w:name="_Toc318581176"/>
      <w:bookmarkStart w:id="377" w:name="_Toc312678034"/>
      <w:r>
        <w:rPr>
          <w:rFonts w:hint="eastAsia" w:ascii="宋体" w:hAnsi="宋体" w:eastAsia="宋体" w:cs="宋体"/>
          <w:color w:val="auto"/>
          <w:sz w:val="24"/>
          <w:szCs w:val="24"/>
        </w:rPr>
        <w:t>估价材料和工程设备的明细详见附件11：《暂估价一览表》。</w:t>
      </w:r>
    </w:p>
    <w:bookmarkEnd w:id="375"/>
    <w:bookmarkEnd w:id="376"/>
    <w:bookmarkEnd w:id="377"/>
    <w:p w14:paraId="1C95DFAC">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w:t>
      </w:r>
      <w:bookmarkStart w:id="378" w:name="_Toc312677509"/>
      <w:bookmarkStart w:id="379" w:name="_Toc312678035"/>
      <w:bookmarkStart w:id="380" w:name="_Toc318581177"/>
      <w:r>
        <w:rPr>
          <w:rFonts w:hint="eastAsia" w:ascii="宋体" w:hAnsi="宋体" w:eastAsia="宋体" w:cs="宋体"/>
          <w:color w:val="auto"/>
          <w:sz w:val="24"/>
          <w:szCs w:val="24"/>
        </w:rPr>
        <w:t>0.7.1 依法必须招标的暂估价项目</w:t>
      </w:r>
    </w:p>
    <w:bookmarkEnd w:id="378"/>
    <w:bookmarkEnd w:id="379"/>
    <w:bookmarkEnd w:id="380"/>
    <w:p w14:paraId="5A962101">
      <w:pPr>
        <w:adjustRightInd w:val="0"/>
        <w:snapToGrid w:val="0"/>
        <w:spacing w:line="440" w:lineRule="exact"/>
        <w:ind w:firstLine="480" w:firstLineChars="200"/>
        <w:jc w:val="left"/>
        <w:rPr>
          <w:rFonts w:hint="eastAsia" w:ascii="宋体" w:hAnsi="宋体" w:eastAsia="宋体" w:cs="宋体"/>
          <w:b/>
          <w:color w:val="auto"/>
          <w:sz w:val="24"/>
          <w:szCs w:val="24"/>
          <w:u w:val="single"/>
        </w:rPr>
      </w:pPr>
      <w:r>
        <w:rPr>
          <w:rFonts w:hint="eastAsia" w:ascii="宋体" w:hAnsi="宋体" w:eastAsia="宋体" w:cs="宋体"/>
          <w:color w:val="auto"/>
          <w:sz w:val="24"/>
          <w:szCs w:val="24"/>
        </w:rPr>
        <w:t>对于依法必须招标的暂估价项目的确认和批准采取</w:t>
      </w:r>
      <w:r>
        <w:rPr>
          <w:rFonts w:hint="eastAsia" w:ascii="宋体" w:hAnsi="宋体" w:eastAsia="宋体" w:cs="宋体"/>
          <w:b/>
          <w:color w:val="auto"/>
          <w:sz w:val="24"/>
          <w:szCs w:val="24"/>
          <w:u w:val="single"/>
        </w:rPr>
        <w:t>发包人委托代理提供公开招标方式确认。</w:t>
      </w:r>
    </w:p>
    <w:p w14:paraId="337388DA">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10.7.2 不属于依法必须招标的暂估价项目</w:t>
      </w:r>
    </w:p>
    <w:p w14:paraId="7B40828D">
      <w:pPr>
        <w:adjustRightInd w:val="0"/>
        <w:snapToGrid w:val="0"/>
        <w:spacing w:line="440" w:lineRule="exact"/>
        <w:ind w:firstLine="480" w:firstLineChars="200"/>
        <w:outlineLvl w:val="0"/>
        <w:rPr>
          <w:rFonts w:hint="eastAsia" w:ascii="宋体" w:hAnsi="宋体" w:eastAsia="宋体" w:cs="宋体"/>
          <w:b/>
          <w:color w:val="auto"/>
          <w:sz w:val="24"/>
          <w:szCs w:val="24"/>
        </w:rPr>
      </w:pPr>
      <w:r>
        <w:rPr>
          <w:rFonts w:hint="eastAsia" w:ascii="宋体" w:hAnsi="宋体" w:eastAsia="宋体" w:cs="宋体"/>
          <w:color w:val="auto"/>
          <w:sz w:val="24"/>
          <w:szCs w:val="24"/>
        </w:rPr>
        <w:t>除专用合同条款另有约定外，对于不属于依法必须招标的暂估价项目，</w:t>
      </w:r>
      <w:r>
        <w:rPr>
          <w:rFonts w:hint="eastAsia" w:ascii="宋体" w:hAnsi="宋体" w:eastAsia="宋体" w:cs="宋体"/>
          <w:b/>
          <w:color w:val="auto"/>
          <w:sz w:val="24"/>
          <w:szCs w:val="24"/>
        </w:rPr>
        <w:t xml:space="preserve">采取以下第1种方式确定： </w:t>
      </w:r>
    </w:p>
    <w:p w14:paraId="349675F2">
      <w:pPr>
        <w:adjustRightInd w:val="0"/>
        <w:snapToGrid w:val="0"/>
        <w:spacing w:line="440" w:lineRule="exact"/>
        <w:ind w:firstLine="482" w:firstLineChars="200"/>
        <w:outlineLvl w:val="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第1种方式：对于不属于依法必须招标的暂估价项目，按本项约定确认和批准：</w:t>
      </w:r>
    </w:p>
    <w:p w14:paraId="05B01CE4">
      <w:pPr>
        <w:adjustRightInd w:val="0"/>
        <w:snapToGrid w:val="0"/>
        <w:spacing w:line="440" w:lineRule="exact"/>
        <w:ind w:firstLine="482" w:firstLineChars="200"/>
        <w:outlineLvl w:val="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（1）承包人应根据施工进度计划，在签订暂估价项目的采购合同、分包合同前28天向监理人提出书面申请。监理人应当在收到申请后3天内报送发包人，发包人应当在收到申请及时给予批准或提出修改意见；</w:t>
      </w:r>
    </w:p>
    <w:p w14:paraId="110CA90C">
      <w:pPr>
        <w:adjustRightInd w:val="0"/>
        <w:snapToGrid w:val="0"/>
        <w:spacing w:line="440" w:lineRule="exact"/>
        <w:ind w:firstLine="482" w:firstLineChars="200"/>
        <w:outlineLvl w:val="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（2）发包人认为承包人确定的供应商、分包人无法满足工程质量或合同要求的，发包人可以要求承包人重新确定暂估价项目的供应商、分包人;</w:t>
      </w:r>
    </w:p>
    <w:p w14:paraId="641B2325">
      <w:pPr>
        <w:adjustRightInd w:val="0"/>
        <w:snapToGrid w:val="0"/>
        <w:spacing w:line="440" w:lineRule="exact"/>
        <w:ind w:firstLine="482" w:firstLineChars="200"/>
        <w:outlineLvl w:val="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（3）承包人应当在签订暂估价合同后7天内，将暂估价合同副本报送发包人留存。</w:t>
      </w:r>
    </w:p>
    <w:p w14:paraId="21A3E061">
      <w:pPr>
        <w:adjustRightInd w:val="0"/>
        <w:snapToGrid w:val="0"/>
        <w:spacing w:line="440" w:lineRule="exact"/>
        <w:ind w:firstLine="482" w:firstLineChars="200"/>
        <w:outlineLvl w:val="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第2种方式：承包人按照第10.7.1项〔依法必须招标的暂估价项目〕约定的第1种方式确定暂估价项目。</w:t>
      </w:r>
    </w:p>
    <w:p w14:paraId="7EF2A6DF">
      <w:pPr>
        <w:adjustRightInd w:val="0"/>
        <w:snapToGrid w:val="0"/>
        <w:spacing w:line="440" w:lineRule="exact"/>
        <w:ind w:firstLine="482" w:firstLineChars="200"/>
        <w:outlineLvl w:val="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第3种方式：承包人直接实施的暂估价项目</w:t>
      </w:r>
    </w:p>
    <w:p w14:paraId="7C8EEF48">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承包人直接实施的暂估价项目的约定：</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08AE6C44">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10.8 暂列金额</w:t>
      </w:r>
    </w:p>
    <w:p w14:paraId="0EA9FE4B">
      <w:pPr>
        <w:spacing w:line="440" w:lineRule="exact"/>
        <w:ind w:firstLine="480" w:firstLineChars="200"/>
        <w:rPr>
          <w:rFonts w:hint="eastAsia" w:ascii="宋体" w:hAnsi="宋体" w:eastAsia="宋体" w:cs="宋体"/>
          <w:b/>
          <w:color w:val="auto"/>
          <w:sz w:val="24"/>
          <w:szCs w:val="24"/>
          <w:u w:val="single"/>
        </w:rPr>
      </w:pPr>
      <w:r>
        <w:rPr>
          <w:rFonts w:hint="eastAsia" w:ascii="宋体" w:hAnsi="宋体" w:eastAsia="宋体" w:cs="宋体"/>
          <w:color w:val="auto"/>
          <w:sz w:val="24"/>
          <w:szCs w:val="24"/>
        </w:rPr>
        <w:t>合同当事人关于暂列金额使用的约定：</w:t>
      </w:r>
      <w:r>
        <w:rPr>
          <w:rFonts w:hint="eastAsia" w:ascii="宋体" w:hAnsi="宋体" w:eastAsia="宋体" w:cs="宋体"/>
          <w:b/>
          <w:color w:val="auto"/>
          <w:sz w:val="24"/>
          <w:szCs w:val="24"/>
          <w:u w:val="single"/>
        </w:rPr>
        <w:t>暂列金是指发包人为可能发生工程变更而暂列的金额，包括因发包人提供的工程量清单漏项、清单有误引起的工程数量增加和施工过程中设计变更引起新的清单项目或工程数量增加等需要增加的金额。暂列金是发包人自行确定设立的，承包人无权使用此笔费用。此费用按实际发生经发包人签证后确定全部使用、部分使用或不使用。暂列金不计入工程款付款的基数。</w:t>
      </w:r>
    </w:p>
    <w:p w14:paraId="10C3C6AB">
      <w:pPr>
        <w:keepNext/>
        <w:keepLines/>
        <w:adjustRightInd w:val="0"/>
        <w:snapToGrid w:val="0"/>
        <w:spacing w:line="440" w:lineRule="exact"/>
        <w:ind w:firstLine="482" w:firstLineChars="200"/>
        <w:outlineLvl w:val="3"/>
        <w:rPr>
          <w:rFonts w:hint="eastAsia" w:ascii="宋体" w:hAnsi="宋体" w:eastAsia="宋体" w:cs="宋体"/>
          <w:b/>
          <w:color w:val="auto"/>
          <w:sz w:val="24"/>
          <w:szCs w:val="24"/>
        </w:rPr>
      </w:pPr>
      <w:r>
        <w:rPr>
          <w:rFonts w:hint="eastAsia" w:ascii="宋体" w:hAnsi="宋体" w:eastAsia="宋体" w:cs="宋体"/>
          <w:b/>
          <w:color w:val="auto"/>
          <w:sz w:val="24"/>
          <w:szCs w:val="24"/>
        </w:rPr>
        <w:t>11. 价格调整</w:t>
      </w:r>
      <w:bookmarkEnd w:id="162"/>
    </w:p>
    <w:p w14:paraId="183A434C">
      <w:pPr>
        <w:adjustRightInd w:val="0"/>
        <w:snapToGrid w:val="0"/>
        <w:spacing w:line="440" w:lineRule="exact"/>
        <w:ind w:firstLine="480" w:firstLineChars="200"/>
        <w:rPr>
          <w:rFonts w:hint="eastAsia" w:ascii="宋体" w:hAnsi="宋体" w:eastAsia="宋体" w:cs="宋体"/>
          <w:color w:val="auto"/>
          <w:sz w:val="24"/>
          <w:szCs w:val="24"/>
        </w:rPr>
      </w:pPr>
      <w:bookmarkStart w:id="381" w:name="_Toc292559406"/>
      <w:bookmarkStart w:id="382" w:name="_Toc312678039"/>
      <w:bookmarkStart w:id="383" w:name="_Toc300935000"/>
      <w:bookmarkStart w:id="384" w:name="_Toc296347200"/>
      <w:bookmarkStart w:id="385" w:name="_Toc297048387"/>
      <w:bookmarkStart w:id="386" w:name="_Toc297216209"/>
      <w:bookmarkStart w:id="387" w:name="_Toc297120501"/>
      <w:bookmarkStart w:id="388" w:name="_Toc304295577"/>
      <w:bookmarkStart w:id="389" w:name="_Toc292559911"/>
      <w:bookmarkStart w:id="390" w:name="_Toc296891241"/>
      <w:bookmarkStart w:id="391" w:name="_Toc297123550"/>
      <w:bookmarkStart w:id="392" w:name="_Toc296944540"/>
      <w:bookmarkStart w:id="393" w:name="_Toc296503201"/>
      <w:bookmarkStart w:id="394" w:name="_Toc296346702"/>
      <w:bookmarkStart w:id="395" w:name="_Toc303539157"/>
      <w:bookmarkStart w:id="396" w:name="_Toc296891029"/>
      <w:r>
        <w:rPr>
          <w:rFonts w:hint="eastAsia" w:ascii="宋体" w:hAnsi="宋体" w:eastAsia="宋体" w:cs="宋体"/>
          <w:color w:val="auto"/>
          <w:sz w:val="24"/>
          <w:szCs w:val="24"/>
        </w:rPr>
        <w:t>11.1 市场价格波动引起的调整</w:t>
      </w:r>
    </w:p>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14:paraId="4B6000E2">
      <w:pPr>
        <w:adjustRightInd w:val="0"/>
        <w:snapToGrid w:val="0"/>
        <w:spacing w:line="440" w:lineRule="exact"/>
        <w:ind w:firstLine="480" w:firstLineChars="200"/>
        <w:rPr>
          <w:rFonts w:hint="eastAsia" w:ascii="宋体" w:hAnsi="宋体" w:eastAsia="宋体" w:cs="宋体"/>
          <w:b/>
          <w:color w:val="auto"/>
          <w:sz w:val="24"/>
          <w:szCs w:val="24"/>
          <w:u w:val="single"/>
        </w:rPr>
      </w:pPr>
      <w:r>
        <w:rPr>
          <w:rFonts w:hint="eastAsia" w:ascii="宋体" w:hAnsi="宋体" w:eastAsia="宋体" w:cs="宋体"/>
          <w:color w:val="auto"/>
          <w:sz w:val="24"/>
          <w:szCs w:val="24"/>
        </w:rPr>
        <w:t>市场价格波动是否调整合同价格的约定：</w:t>
      </w:r>
      <w:r>
        <w:rPr>
          <w:rFonts w:hint="eastAsia" w:ascii="宋体" w:hAnsi="宋体" w:eastAsia="宋体" w:cs="宋体"/>
          <w:b/>
          <w:color w:val="auto"/>
          <w:sz w:val="24"/>
          <w:szCs w:val="24"/>
          <w:u w:val="single"/>
        </w:rPr>
        <w:t xml:space="preserve">  否      </w:t>
      </w:r>
    </w:p>
    <w:p w14:paraId="50741806">
      <w:pPr>
        <w:keepNext/>
        <w:keepLines/>
        <w:adjustRightInd w:val="0"/>
        <w:snapToGrid w:val="0"/>
        <w:spacing w:line="440" w:lineRule="exact"/>
        <w:ind w:firstLine="482" w:firstLineChars="200"/>
        <w:outlineLvl w:val="3"/>
        <w:rPr>
          <w:rFonts w:hint="eastAsia" w:ascii="宋体" w:hAnsi="宋体" w:eastAsia="宋体" w:cs="宋体"/>
          <w:b/>
          <w:color w:val="auto"/>
          <w:sz w:val="24"/>
          <w:szCs w:val="24"/>
        </w:rPr>
      </w:pPr>
      <w:bookmarkStart w:id="397" w:name="_Toc296891245"/>
      <w:bookmarkStart w:id="398" w:name="_Toc296944544"/>
      <w:bookmarkStart w:id="399" w:name="_Toc297048391"/>
      <w:bookmarkStart w:id="400" w:name="_Toc296346706"/>
      <w:bookmarkStart w:id="401" w:name="_Toc296347204"/>
      <w:bookmarkStart w:id="402" w:name="_Toc292559410"/>
      <w:bookmarkStart w:id="403" w:name="_Toc296891033"/>
      <w:bookmarkStart w:id="404" w:name="_Toc296503205"/>
      <w:bookmarkStart w:id="405" w:name="_Toc297120505"/>
      <w:bookmarkStart w:id="406" w:name="_Toc292559915"/>
      <w:bookmarkStart w:id="407" w:name="_Toc351203644"/>
      <w:bookmarkStart w:id="408" w:name="_Toc300935002"/>
      <w:bookmarkStart w:id="409" w:name="_Toc304295579"/>
      <w:bookmarkStart w:id="410" w:name="_Toc297216211"/>
      <w:bookmarkStart w:id="411" w:name="_Toc312678040"/>
      <w:bookmarkStart w:id="412" w:name="_Toc297123552"/>
      <w:bookmarkStart w:id="413" w:name="_Toc303539159"/>
      <w:r>
        <w:rPr>
          <w:rFonts w:hint="eastAsia" w:ascii="宋体" w:hAnsi="宋体" w:eastAsia="宋体" w:cs="宋体"/>
          <w:b/>
          <w:color w:val="auto"/>
          <w:sz w:val="24"/>
          <w:szCs w:val="24"/>
        </w:rPr>
        <w:t xml:space="preserve">12. </w:t>
      </w:r>
      <w:bookmarkEnd w:id="397"/>
      <w:bookmarkEnd w:id="398"/>
      <w:bookmarkEnd w:id="399"/>
      <w:bookmarkEnd w:id="400"/>
      <w:bookmarkEnd w:id="401"/>
      <w:bookmarkEnd w:id="402"/>
      <w:bookmarkEnd w:id="403"/>
      <w:bookmarkEnd w:id="404"/>
      <w:bookmarkEnd w:id="405"/>
      <w:bookmarkEnd w:id="406"/>
      <w:r>
        <w:rPr>
          <w:rFonts w:hint="eastAsia" w:ascii="宋体" w:hAnsi="宋体" w:eastAsia="宋体" w:cs="宋体"/>
          <w:b/>
          <w:color w:val="auto"/>
          <w:sz w:val="24"/>
          <w:szCs w:val="24"/>
        </w:rPr>
        <w:t>合同价格、计量与支付</w:t>
      </w:r>
      <w:bookmarkEnd w:id="407"/>
    </w:p>
    <w:bookmarkEnd w:id="408"/>
    <w:bookmarkEnd w:id="409"/>
    <w:bookmarkEnd w:id="410"/>
    <w:bookmarkEnd w:id="411"/>
    <w:bookmarkEnd w:id="412"/>
    <w:bookmarkEnd w:id="413"/>
    <w:p w14:paraId="17C0F34E">
      <w:pPr>
        <w:adjustRightInd w:val="0"/>
        <w:snapToGrid w:val="0"/>
        <w:spacing w:line="440" w:lineRule="exact"/>
        <w:ind w:firstLine="480" w:firstLineChars="200"/>
        <w:rPr>
          <w:rFonts w:hint="eastAsia" w:ascii="宋体" w:hAnsi="宋体" w:eastAsia="宋体" w:cs="宋体"/>
          <w:color w:val="auto"/>
          <w:sz w:val="24"/>
          <w:szCs w:val="24"/>
        </w:rPr>
      </w:pPr>
      <w:bookmarkStart w:id="414" w:name="_Toc267251461"/>
      <w:bookmarkStart w:id="415" w:name="_Toc292559916"/>
      <w:bookmarkStart w:id="416" w:name="_Toc292559411"/>
      <w:bookmarkStart w:id="417" w:name="_Toc296346707"/>
      <w:bookmarkStart w:id="418" w:name="_Toc296891246"/>
      <w:bookmarkStart w:id="419" w:name="_Toc296347205"/>
      <w:bookmarkStart w:id="420" w:name="_Toc297048392"/>
      <w:bookmarkStart w:id="421" w:name="_Toc296944545"/>
      <w:bookmarkStart w:id="422" w:name="_Toc296891034"/>
      <w:bookmarkStart w:id="423" w:name="_Toc296503206"/>
      <w:bookmarkStart w:id="424" w:name="_Toc297120506"/>
      <w:bookmarkStart w:id="425" w:name="_Toc303539160"/>
      <w:bookmarkStart w:id="426" w:name="_Toc297216212"/>
      <w:bookmarkStart w:id="427" w:name="_Toc300935003"/>
      <w:bookmarkStart w:id="428" w:name="_Toc312678041"/>
      <w:bookmarkStart w:id="429" w:name="_Toc304295580"/>
      <w:bookmarkStart w:id="430" w:name="_Toc297123553"/>
      <w:r>
        <w:rPr>
          <w:rFonts w:hint="eastAsia" w:ascii="宋体" w:hAnsi="宋体" w:eastAsia="宋体" w:cs="宋体"/>
          <w:color w:val="auto"/>
          <w:sz w:val="24"/>
          <w:szCs w:val="24"/>
        </w:rPr>
        <w:t>12.1 合</w:t>
      </w:r>
      <w:bookmarkEnd w:id="414"/>
      <w:bookmarkEnd w:id="415"/>
      <w:bookmarkEnd w:id="416"/>
      <w:r>
        <w:rPr>
          <w:rFonts w:hint="eastAsia" w:ascii="宋体" w:hAnsi="宋体" w:eastAsia="宋体" w:cs="宋体"/>
          <w:color w:val="auto"/>
          <w:sz w:val="24"/>
          <w:szCs w:val="24"/>
        </w:rPr>
        <w:t>同价</w:t>
      </w:r>
      <w:bookmarkEnd w:id="417"/>
      <w:bookmarkEnd w:id="418"/>
      <w:bookmarkEnd w:id="419"/>
      <w:bookmarkEnd w:id="420"/>
      <w:bookmarkEnd w:id="421"/>
      <w:bookmarkEnd w:id="422"/>
      <w:bookmarkEnd w:id="423"/>
      <w:bookmarkEnd w:id="424"/>
      <w:r>
        <w:rPr>
          <w:rFonts w:hint="eastAsia" w:ascii="宋体" w:hAnsi="宋体" w:eastAsia="宋体" w:cs="宋体"/>
          <w:color w:val="auto"/>
          <w:sz w:val="24"/>
          <w:szCs w:val="24"/>
        </w:rPr>
        <w:t>格形式</w:t>
      </w:r>
    </w:p>
    <w:bookmarkEnd w:id="425"/>
    <w:bookmarkEnd w:id="426"/>
    <w:bookmarkEnd w:id="427"/>
    <w:bookmarkEnd w:id="428"/>
    <w:bookmarkEnd w:id="429"/>
    <w:bookmarkEnd w:id="430"/>
    <w:p w14:paraId="700ED85B">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1、单价合同。</w:t>
      </w:r>
    </w:p>
    <w:p w14:paraId="107D719A">
      <w:pPr>
        <w:autoSpaceDE w:val="0"/>
        <w:autoSpaceDN w:val="0"/>
        <w:adjustRightInd w:val="0"/>
        <w:spacing w:line="440" w:lineRule="exact"/>
        <w:ind w:firstLine="480" w:firstLineChars="200"/>
        <w:rPr>
          <w:rFonts w:hint="eastAsia" w:ascii="宋体" w:hAnsi="宋体" w:eastAsia="宋体" w:cs="宋体"/>
          <w:b/>
          <w:color w:val="auto"/>
          <w:sz w:val="24"/>
          <w:szCs w:val="24"/>
          <w:u w:val="single"/>
        </w:rPr>
      </w:pPr>
      <w:r>
        <w:rPr>
          <w:rFonts w:hint="eastAsia" w:ascii="宋体" w:hAnsi="宋体" w:eastAsia="宋体" w:cs="宋体"/>
          <w:color w:val="auto"/>
          <w:sz w:val="24"/>
          <w:szCs w:val="24"/>
        </w:rPr>
        <w:t>综合单价包含的风险范围：</w:t>
      </w:r>
      <w:r>
        <w:rPr>
          <w:rFonts w:hint="eastAsia" w:ascii="宋体" w:hAnsi="宋体" w:eastAsia="宋体" w:cs="宋体"/>
          <w:b/>
          <w:color w:val="auto"/>
          <w:sz w:val="24"/>
          <w:szCs w:val="24"/>
          <w:u w:val="single"/>
        </w:rPr>
        <w:t>承包人在投标报价时已充分考虑到施工期间各类建材的市场风险、施工机械进（退）场费、甲供材料的保管费（如有）、发包人另行分包项目的总包管理费或配合费（如有）、人工工资、工程实施范围内外可能出现的阻挠施工等各方面的风险因素。工程量的风险由发包人承担，价的风险在约定风险范围内的，由承包人承担，风险范围以外的按合同约定。承包人在投标时已仔细核对图纸、清单，并依据国家、省、市现行规范、规程、文件等报价，若招标时工程量清单中项目特征描述不清或未完整，但为满足招标人和设计图纸的要求而必须完成的工作，工程结算时不再调整该子目的综合单价及措施费用，即发包人不为此类情形另外支付费用。</w:t>
      </w:r>
    </w:p>
    <w:p w14:paraId="305AA4AE">
      <w:pPr>
        <w:autoSpaceDE w:val="0"/>
        <w:autoSpaceDN w:val="0"/>
        <w:adjustRightInd w:val="0"/>
        <w:spacing w:line="440" w:lineRule="exact"/>
        <w:ind w:firstLine="480" w:firstLineChars="200"/>
        <w:rPr>
          <w:rFonts w:hint="eastAsia" w:ascii="宋体" w:hAnsi="宋体" w:eastAsia="宋体" w:cs="宋体"/>
          <w:b/>
          <w:bCs/>
          <w:color w:val="auto"/>
          <w:sz w:val="24"/>
          <w:szCs w:val="24"/>
          <w:u w:val="single"/>
        </w:rPr>
      </w:pPr>
      <w:r>
        <w:rPr>
          <w:rFonts w:hint="eastAsia" w:ascii="宋体" w:hAnsi="宋体" w:eastAsia="宋体" w:cs="宋体"/>
          <w:color w:val="auto"/>
          <w:sz w:val="24"/>
          <w:szCs w:val="24"/>
        </w:rPr>
        <w:t>双方约定合同价款的其他调整因素：</w:t>
      </w:r>
      <w:bookmarkStart w:id="431" w:name="_Toc297048393"/>
      <w:bookmarkStart w:id="432" w:name="_Toc296891247"/>
      <w:bookmarkStart w:id="433" w:name="_Toc297123554"/>
      <w:bookmarkStart w:id="434" w:name="_Toc300935004"/>
      <w:bookmarkStart w:id="435" w:name="_Toc296891035"/>
      <w:bookmarkStart w:id="436" w:name="_Toc297120507"/>
      <w:bookmarkStart w:id="437" w:name="_Toc296503207"/>
      <w:bookmarkStart w:id="438" w:name="_Toc296347206"/>
      <w:bookmarkStart w:id="439" w:name="_Toc303539161"/>
      <w:bookmarkStart w:id="440" w:name="_Toc292559917"/>
      <w:bookmarkStart w:id="441" w:name="_Toc292559412"/>
      <w:bookmarkStart w:id="442" w:name="_Toc304295581"/>
      <w:bookmarkStart w:id="443" w:name="_Toc296346708"/>
      <w:bookmarkStart w:id="444" w:name="_Toc312678042"/>
      <w:bookmarkStart w:id="445" w:name="_Toc297216213"/>
      <w:bookmarkStart w:id="446" w:name="_Toc296944546"/>
      <w:r>
        <w:rPr>
          <w:rFonts w:hint="eastAsia" w:ascii="宋体" w:hAnsi="宋体" w:eastAsia="宋体" w:cs="宋体"/>
          <w:color w:val="auto"/>
          <w:sz w:val="24"/>
          <w:szCs w:val="24"/>
        </w:rPr>
        <w:t>双方约定合同价款的其他调整因素：</w:t>
      </w:r>
      <w:r>
        <w:rPr>
          <w:rFonts w:hint="eastAsia" w:ascii="宋体" w:hAnsi="宋体" w:eastAsia="宋体" w:cs="宋体"/>
          <w:b/>
          <w:color w:val="auto"/>
          <w:sz w:val="24"/>
          <w:szCs w:val="24"/>
          <w:u w:val="single"/>
        </w:rPr>
        <w:t>同合同专用条款1.13</w:t>
      </w:r>
      <w:r>
        <w:rPr>
          <w:rFonts w:hint="eastAsia" w:ascii="宋体" w:hAnsi="宋体" w:eastAsia="宋体" w:cs="宋体"/>
          <w:b/>
          <w:bCs/>
          <w:color w:val="auto"/>
          <w:sz w:val="24"/>
          <w:szCs w:val="24"/>
          <w:u w:val="single"/>
        </w:rPr>
        <w:t>。</w:t>
      </w:r>
    </w:p>
    <w:p w14:paraId="473A6714">
      <w:pPr>
        <w:autoSpaceDE w:val="0"/>
        <w:autoSpaceDN w:val="0"/>
        <w:adjustRightIn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12.2 预付款</w:t>
      </w:r>
    </w:p>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14:paraId="6737CC8F">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预付款支付比例或金额：</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w:t>
      </w:r>
      <w:r>
        <w:rPr>
          <w:rFonts w:hint="eastAsia" w:ascii="宋体" w:hAnsi="宋体" w:eastAsia="宋体" w:cs="宋体"/>
          <w:b/>
          <w:bCs/>
          <w:color w:val="auto"/>
          <w:sz w:val="24"/>
          <w:szCs w:val="24"/>
          <w:u w:val="single"/>
        </w:rPr>
        <w:t xml:space="preserve">/ </w:t>
      </w:r>
      <w:r>
        <w:rPr>
          <w:rFonts w:hint="eastAsia" w:ascii="宋体" w:hAnsi="宋体" w:eastAsia="宋体" w:cs="宋体"/>
          <w:b/>
          <w:color w:val="auto"/>
          <w:sz w:val="24"/>
          <w:szCs w:val="24"/>
          <w:u w:val="single"/>
        </w:rPr>
        <w:t xml:space="preserve">  。</w:t>
      </w:r>
    </w:p>
    <w:p w14:paraId="4EEBEF58">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预付款支付期限：</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183C9B9E">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预付款扣回的方式：</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  </w:t>
      </w:r>
      <w:r>
        <w:rPr>
          <w:rFonts w:hint="eastAsia" w:ascii="宋体" w:hAnsi="宋体" w:eastAsia="宋体" w:cs="宋体"/>
          <w:color w:val="auto"/>
          <w:sz w:val="24"/>
          <w:szCs w:val="24"/>
        </w:rPr>
        <w:t>。</w:t>
      </w:r>
    </w:p>
    <w:p w14:paraId="1D254218">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12.2.2 预付款担保</w:t>
      </w:r>
    </w:p>
    <w:p w14:paraId="6D1B7452">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承包人提交预付款担保的期限</w:t>
      </w:r>
      <w:r>
        <w:rPr>
          <w:rFonts w:hint="eastAsia" w:ascii="宋体" w:hAnsi="宋体" w:eastAsia="宋体" w:cs="宋体"/>
          <w:b/>
          <w:color w:val="auto"/>
          <w:sz w:val="24"/>
          <w:szCs w:val="24"/>
          <w:u w:val="single"/>
        </w:rPr>
        <w:t xml:space="preserve">：  /   </w:t>
      </w:r>
      <w:r>
        <w:rPr>
          <w:rFonts w:hint="eastAsia" w:ascii="宋体" w:hAnsi="宋体" w:eastAsia="宋体" w:cs="宋体"/>
          <w:color w:val="auto"/>
          <w:sz w:val="24"/>
          <w:szCs w:val="24"/>
        </w:rPr>
        <w:t>。</w:t>
      </w:r>
    </w:p>
    <w:p w14:paraId="26B4E752">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预付款担保的形式为：</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72692ECE">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12.3 计量</w:t>
      </w:r>
    </w:p>
    <w:p w14:paraId="0F8B569D">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12.3.1 计量原则</w:t>
      </w:r>
    </w:p>
    <w:p w14:paraId="612FF23D">
      <w:pPr>
        <w:autoSpaceDE w:val="0"/>
        <w:autoSpaceDN w:val="0"/>
        <w:adjustRightInd w:val="0"/>
        <w:spacing w:line="360" w:lineRule="auto"/>
        <w:ind w:firstLine="480" w:firstLineChars="200"/>
        <w:rPr>
          <w:rFonts w:ascii="宋体" w:hAnsi="宋体" w:cs="宋体"/>
          <w:color w:val="auto"/>
          <w:szCs w:val="21"/>
        </w:rPr>
      </w:pPr>
      <w:r>
        <w:rPr>
          <w:rFonts w:hint="eastAsia" w:ascii="宋体" w:hAnsi="宋体" w:eastAsia="宋体" w:cs="宋体"/>
          <w:color w:val="auto"/>
          <w:sz w:val="24"/>
          <w:szCs w:val="24"/>
        </w:rPr>
        <w:t>工程量计算规则</w:t>
      </w:r>
      <w:r>
        <w:rPr>
          <w:rFonts w:hint="eastAsia" w:ascii="宋体" w:hAnsi="宋体" w:eastAsia="宋体" w:cs="宋体"/>
          <w:b/>
          <w:color w:val="auto"/>
          <w:sz w:val="24"/>
          <w:szCs w:val="24"/>
          <w:u w:val="single"/>
        </w:rPr>
        <w:t>：《建设工程工程量清单计价标准》（GB/T50500-2024）及《房屋建筑与装饰工程工程量计算标准》（GB/T50854-2024）、《通用安装工程工程量计算标准》（GB/T50856-2024）工程量计算标准。省住房和城乡建设厅关于实施《建设工程工程量清单计价标准》（GB/T50500-2024）及9本工程量计算标准有关事宜的公告（2025）第12号；《江苏省建筑与装饰工程消耗量》《江苏省市政工程消耗量》《江苏省通用安装工程消耗量》《江苏省建设工程费用参考》及《江苏建设工程施工机具台班费用参考表》。</w:t>
      </w:r>
    </w:p>
    <w:p w14:paraId="6721945D">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12.3.2 计量周期</w:t>
      </w:r>
    </w:p>
    <w:p w14:paraId="5594531E">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关于计量周期的约定：</w:t>
      </w:r>
      <w:r>
        <w:rPr>
          <w:rFonts w:hint="eastAsia" w:ascii="宋体" w:hAnsi="宋体" w:eastAsia="宋体" w:cs="宋体"/>
          <w:b/>
          <w:color w:val="auto"/>
          <w:sz w:val="24"/>
          <w:szCs w:val="24"/>
          <w:u w:val="single"/>
        </w:rPr>
        <w:t xml:space="preserve">     /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38939F34">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12.3.3 单价合同的计量</w:t>
      </w:r>
    </w:p>
    <w:p w14:paraId="195C5D37">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关于单价合同计量的约定：</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7E6D0BB6">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12.3.4 总价合同的计量</w:t>
      </w:r>
    </w:p>
    <w:p w14:paraId="01C67F9F">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关于总价合同计量的约定：</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5AF8F8C4">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12.3.5总价合同采用支付分解表计量支付的，是否适用第12.3.4 项〔总价合同的计量〕约定进行计量：</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117E7FF2">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12.3.6 其他价格形式合同的计量</w:t>
      </w:r>
    </w:p>
    <w:p w14:paraId="518792B0">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其他价格形式的计量方式和程序：</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305116A9">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12.4 工程进度款支付</w:t>
      </w:r>
    </w:p>
    <w:p w14:paraId="7BC35101">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12.4.1 付款周期</w:t>
      </w:r>
    </w:p>
    <w:p w14:paraId="4662F3D7">
      <w:pPr>
        <w:autoSpaceDE w:val="0"/>
        <w:autoSpaceDN w:val="0"/>
        <w:adjustRightInd w:val="0"/>
        <w:snapToGrid w:val="0"/>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承包人申请付款的程序应符合发包人的财务规定。</w:t>
      </w:r>
    </w:p>
    <w:p w14:paraId="4AF20F4D">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关于付款周期的约定：</w:t>
      </w:r>
    </w:p>
    <w:p w14:paraId="1FB4DE74">
      <w:pPr>
        <w:pStyle w:val="167"/>
        <w:adjustRightInd w:val="0"/>
        <w:snapToGrid w:val="0"/>
        <w:spacing w:line="440" w:lineRule="exact"/>
        <w:ind w:firstLine="482"/>
        <w:rPr>
          <w:rFonts w:hint="eastAsia" w:ascii="宋体" w:hAnsi="宋体" w:eastAsia="宋体" w:cs="宋体"/>
          <w:b/>
          <w:color w:val="auto"/>
          <w:sz w:val="24"/>
          <w:szCs w:val="24"/>
          <w:u w:val="single"/>
        </w:rPr>
      </w:pPr>
      <w:r>
        <w:rPr>
          <w:rFonts w:hint="eastAsia" w:ascii="宋体" w:hAnsi="宋体" w:eastAsia="宋体" w:cs="宋体"/>
          <w:b/>
          <w:color w:val="auto"/>
          <w:sz w:val="24"/>
          <w:szCs w:val="24"/>
          <w:highlight w:val="none"/>
          <w:u w:val="single"/>
        </w:rPr>
        <w:t>设备</w:t>
      </w:r>
      <w:r>
        <w:rPr>
          <w:rFonts w:hint="eastAsia" w:ascii="宋体" w:hAnsi="宋体" w:cs="宋体"/>
          <w:b/>
          <w:color w:val="auto"/>
          <w:sz w:val="24"/>
          <w:szCs w:val="24"/>
          <w:highlight w:val="none"/>
          <w:u w:val="single"/>
          <w:lang w:val="en-US" w:eastAsia="zh-CN"/>
        </w:rPr>
        <w:t>及材料</w:t>
      </w:r>
      <w:r>
        <w:rPr>
          <w:rFonts w:hint="eastAsia" w:ascii="宋体" w:hAnsi="宋体" w:eastAsia="宋体" w:cs="宋体"/>
          <w:b/>
          <w:color w:val="auto"/>
          <w:sz w:val="24"/>
          <w:szCs w:val="24"/>
          <w:highlight w:val="none"/>
          <w:u w:val="single"/>
        </w:rPr>
        <w:t>全部</w:t>
      </w:r>
      <w:r>
        <w:rPr>
          <w:rFonts w:hint="eastAsia" w:ascii="宋体" w:hAnsi="宋体" w:eastAsia="宋体" w:cs="宋体"/>
          <w:b/>
          <w:color w:val="auto"/>
          <w:sz w:val="24"/>
          <w:szCs w:val="24"/>
          <w:u w:val="single"/>
        </w:rPr>
        <w:t>进场并清点数量后，付至付款基数的50%；</w:t>
      </w:r>
      <w:r>
        <w:rPr>
          <w:rFonts w:hint="eastAsia" w:ascii="宋体" w:hAnsi="宋体" w:cs="宋体"/>
          <w:b/>
          <w:color w:val="auto"/>
          <w:sz w:val="24"/>
          <w:szCs w:val="24"/>
          <w:u w:val="single"/>
          <w:lang w:eastAsia="zh-CN"/>
        </w:rPr>
        <w:t>经验收合格及</w:t>
      </w:r>
      <w:r>
        <w:rPr>
          <w:rFonts w:hint="eastAsia" w:ascii="宋体" w:hAnsi="宋体" w:eastAsia="宋体" w:cs="宋体"/>
          <w:b/>
          <w:color w:val="auto"/>
          <w:sz w:val="24"/>
          <w:szCs w:val="24"/>
          <w:u w:val="single"/>
        </w:rPr>
        <w:t>工程结算审计完成后</w:t>
      </w:r>
      <w:r>
        <w:rPr>
          <w:rFonts w:hint="eastAsia" w:ascii="宋体" w:hAnsi="宋体" w:cs="宋体"/>
          <w:b/>
          <w:color w:val="auto"/>
          <w:sz w:val="24"/>
          <w:szCs w:val="24"/>
          <w:u w:val="single"/>
          <w:lang w:eastAsia="zh-CN"/>
        </w:rPr>
        <w:t>，</w:t>
      </w:r>
      <w:r>
        <w:rPr>
          <w:rFonts w:hint="eastAsia" w:ascii="宋体" w:hAnsi="宋体" w:eastAsia="宋体" w:cs="宋体"/>
          <w:b/>
          <w:color w:val="auto"/>
          <w:sz w:val="24"/>
          <w:szCs w:val="24"/>
          <w:u w:val="single"/>
        </w:rPr>
        <w:t>付至结算审定价的90%；余款在保修期满后一次性付清。（保修期2年）</w:t>
      </w:r>
    </w:p>
    <w:p w14:paraId="0A4BEE27">
      <w:pPr>
        <w:pStyle w:val="167"/>
        <w:adjustRightInd w:val="0"/>
        <w:snapToGrid w:val="0"/>
        <w:spacing w:line="440" w:lineRule="exact"/>
        <w:ind w:firstLine="482"/>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以上工程款的支付不计息。</w:t>
      </w:r>
    </w:p>
    <w:p w14:paraId="100B7170">
      <w:pPr>
        <w:pStyle w:val="167"/>
        <w:adjustRightInd w:val="0"/>
        <w:snapToGrid w:val="0"/>
        <w:spacing w:line="440" w:lineRule="exact"/>
        <w:ind w:firstLine="482"/>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付款基数中需扣除暂列金额、专业工程暂估价（如有）。调整价款在进度款中暂不支付。</w:t>
      </w:r>
    </w:p>
    <w:p w14:paraId="0D7C242D">
      <w:pPr>
        <w:spacing w:line="440" w:lineRule="exact"/>
        <w:ind w:firstLine="482" w:firstLineChars="200"/>
        <w:jc w:val="left"/>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承包人确认：每次申请支付工程款的程序应符合发包人的财务规定。每次支付前承包人均先出具相应金额的正式增值税专用发票，承包人未能出具相应金额的正式增值税专用发票的，发包人有权暂停支付工程款，直至承包人出具相应金额的正式增值税专用发票并经发包人确认。</w:t>
      </w:r>
    </w:p>
    <w:p w14:paraId="0D6A9A7E">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承包人不得因拖欠材料商、分包商工程款而影响工程进度或质量，否则承包人除承担违约责任外，并同意发包人直接向材料商、分包商支付欠款，且所支付欠款从承包人的工程款中扣除。</w:t>
      </w:r>
    </w:p>
    <w:p w14:paraId="2BD311A5">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承包人同意按合同规定向发包人承担应承担的各项违约金，同意发包人在应付的工程款中抵扣，但发包人应以工程联系单的形式通知承包人。</w:t>
      </w:r>
    </w:p>
    <w:p w14:paraId="3724AF11">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12.4.2 进度付款申请单的编制</w:t>
      </w:r>
    </w:p>
    <w:p w14:paraId="13E26B8F">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关于进度付款申请单编制的约定：</w:t>
      </w:r>
      <w:r>
        <w:rPr>
          <w:rFonts w:hint="eastAsia" w:ascii="宋体" w:hAnsi="宋体" w:eastAsia="宋体" w:cs="宋体"/>
          <w:b/>
          <w:color w:val="auto"/>
          <w:sz w:val="24"/>
          <w:szCs w:val="24"/>
          <w:u w:val="single"/>
        </w:rPr>
        <w:t>符合发包人的财务规定。</w:t>
      </w:r>
    </w:p>
    <w:p w14:paraId="2B7A1D51">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12.4.3 进度付款申请单的提交</w:t>
      </w:r>
    </w:p>
    <w:p w14:paraId="2C7323B9">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（1）单价合同进度付款申请单提交的约定：</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3A5ED985">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（2）总价合同进度付款申请单提交的约定：</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097CA273">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（3）其他价格形式合同进度付款申请单提交的约定：</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41ECD77E">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12.4.4 进度款审核和支付</w:t>
      </w:r>
    </w:p>
    <w:p w14:paraId="28AB8813">
      <w:pPr>
        <w:adjustRightInd w:val="0"/>
        <w:snapToGrid w:val="0"/>
        <w:spacing w:line="440" w:lineRule="exact"/>
        <w:ind w:firstLine="480" w:firstLineChars="200"/>
        <w:jc w:val="left"/>
        <w:rPr>
          <w:rFonts w:hint="eastAsia" w:ascii="宋体" w:hAnsi="宋体" w:eastAsia="宋体" w:cs="宋体"/>
          <w:color w:val="auto"/>
          <w:sz w:val="24"/>
          <w:szCs w:val="24"/>
          <w:u w:val="single"/>
        </w:rPr>
      </w:pPr>
      <w:r>
        <w:rPr>
          <w:rFonts w:hint="eastAsia" w:ascii="宋体" w:hAnsi="宋体" w:eastAsia="宋体" w:cs="宋体"/>
          <w:color w:val="auto"/>
          <w:sz w:val="24"/>
          <w:szCs w:val="24"/>
        </w:rPr>
        <w:t>（1）监理人审查并报送发包人的期限：</w:t>
      </w:r>
      <w:r>
        <w:rPr>
          <w:rFonts w:hint="eastAsia" w:ascii="宋体" w:hAnsi="宋体" w:eastAsia="宋体" w:cs="宋体"/>
          <w:color w:val="auto"/>
          <w:sz w:val="24"/>
          <w:szCs w:val="24"/>
          <w:u w:val="single"/>
        </w:rPr>
        <w:t xml:space="preserve">  </w:t>
      </w:r>
      <w:r>
        <w:rPr>
          <w:rFonts w:hint="eastAsia" w:ascii="宋体" w:hAnsi="宋体" w:cs="宋体"/>
          <w:color w:val="auto"/>
          <w:sz w:val="24"/>
          <w:szCs w:val="24"/>
          <w:u w:val="single"/>
          <w:lang w:val="en-US" w:eastAsia="zh-CN"/>
        </w:rPr>
        <w:t xml:space="preserve">  /   </w:t>
      </w:r>
      <w:r>
        <w:rPr>
          <w:rFonts w:hint="eastAsia" w:ascii="宋体" w:hAnsi="宋体" w:eastAsia="宋体" w:cs="宋体"/>
          <w:color w:val="auto"/>
          <w:sz w:val="24"/>
          <w:szCs w:val="24"/>
        </w:rPr>
        <w:t>。</w:t>
      </w:r>
    </w:p>
    <w:p w14:paraId="67FD1FF7">
      <w:pPr>
        <w:adjustRightInd w:val="0"/>
        <w:snapToGrid w:val="0"/>
        <w:spacing w:line="440" w:lineRule="exact"/>
        <w:ind w:firstLine="480" w:firstLineChars="200"/>
        <w:jc w:val="left"/>
        <w:rPr>
          <w:rFonts w:hint="eastAsia" w:ascii="宋体" w:hAnsi="宋体" w:eastAsia="宋体" w:cs="宋体"/>
          <w:b/>
          <w:color w:val="auto"/>
          <w:sz w:val="24"/>
          <w:szCs w:val="24"/>
          <w:u w:val="single"/>
        </w:rPr>
      </w:pPr>
      <w:r>
        <w:rPr>
          <w:rFonts w:hint="eastAsia" w:ascii="宋体" w:hAnsi="宋体" w:eastAsia="宋体" w:cs="宋体"/>
          <w:color w:val="auto"/>
          <w:sz w:val="24"/>
          <w:szCs w:val="24"/>
        </w:rPr>
        <w:t>发包人完成审批并签发进度款支付证书的期限：</w:t>
      </w:r>
      <w:r>
        <w:rPr>
          <w:rFonts w:hint="eastAsia" w:ascii="宋体" w:hAnsi="宋体" w:cs="宋体"/>
          <w:b/>
          <w:color w:val="auto"/>
          <w:sz w:val="24"/>
          <w:szCs w:val="24"/>
          <w:u w:val="single"/>
          <w:lang w:val="en-US" w:eastAsia="zh-CN"/>
        </w:rPr>
        <w:t xml:space="preserve">  /    </w:t>
      </w:r>
      <w:r>
        <w:rPr>
          <w:rFonts w:hint="eastAsia" w:ascii="宋体" w:hAnsi="宋体" w:eastAsia="宋体" w:cs="宋体"/>
          <w:b/>
          <w:color w:val="auto"/>
          <w:sz w:val="24"/>
          <w:szCs w:val="24"/>
          <w:u w:val="single"/>
        </w:rPr>
        <w:t>。</w:t>
      </w:r>
    </w:p>
    <w:p w14:paraId="7E3D4BD0">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（2）发包人支付进度款的期限：</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30日历天内</w:t>
      </w:r>
      <w:r>
        <w:rPr>
          <w:rFonts w:hint="eastAsia" w:ascii="宋体" w:hAnsi="宋体" w:eastAsia="宋体" w:cs="宋体"/>
          <w:color w:val="auto"/>
          <w:sz w:val="24"/>
          <w:szCs w:val="24"/>
        </w:rPr>
        <w:t>。</w:t>
      </w:r>
    </w:p>
    <w:p w14:paraId="6BF67A81">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发包人逾期支付进度款的违约金的计算方式：</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4DA18B4C">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12.4.6 支付分解表的编制</w:t>
      </w:r>
    </w:p>
    <w:p w14:paraId="444D82FB">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2、总价合同支付分解表的编制与审批：</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0FDD8318">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3、单价合同的总价项目支付分解表的编制与审批：</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7180B088">
      <w:pPr>
        <w:keepNext/>
        <w:keepLines/>
        <w:adjustRightInd w:val="0"/>
        <w:snapToGrid w:val="0"/>
        <w:spacing w:line="440" w:lineRule="exact"/>
        <w:ind w:firstLine="480" w:firstLineChars="200"/>
        <w:outlineLvl w:val="3"/>
        <w:rPr>
          <w:rFonts w:hint="eastAsia" w:ascii="宋体" w:hAnsi="宋体" w:eastAsia="宋体" w:cs="宋体"/>
          <w:bCs/>
          <w:color w:val="auto"/>
          <w:sz w:val="24"/>
          <w:szCs w:val="24"/>
        </w:rPr>
      </w:pPr>
      <w:bookmarkStart w:id="447" w:name="_Toc351203645"/>
      <w:bookmarkStart w:id="448" w:name="_Toc296503219"/>
      <w:bookmarkStart w:id="449" w:name="_Toc292559929"/>
      <w:bookmarkStart w:id="450" w:name="_Toc296891047"/>
      <w:bookmarkStart w:id="451" w:name="_Toc300935015"/>
      <w:bookmarkStart w:id="452" w:name="_Toc296346720"/>
      <w:bookmarkStart w:id="453" w:name="_Toc303539172"/>
      <w:bookmarkStart w:id="454" w:name="_Toc292559424"/>
      <w:bookmarkStart w:id="455" w:name="_Toc297120519"/>
      <w:bookmarkStart w:id="456" w:name="_Toc296944558"/>
      <w:bookmarkStart w:id="457" w:name="_Toc296347218"/>
      <w:bookmarkStart w:id="458" w:name="_Toc297123564"/>
      <w:bookmarkStart w:id="459" w:name="_Toc297216223"/>
      <w:bookmarkStart w:id="460" w:name="_Toc296891259"/>
      <w:bookmarkStart w:id="461" w:name="_Toc312678053"/>
      <w:bookmarkStart w:id="462" w:name="_Toc297048405"/>
      <w:bookmarkStart w:id="463" w:name="_Toc304295593"/>
      <w:r>
        <w:rPr>
          <w:rFonts w:hint="eastAsia" w:ascii="宋体" w:hAnsi="宋体" w:eastAsia="宋体" w:cs="宋体"/>
          <w:bCs/>
          <w:color w:val="auto"/>
          <w:sz w:val="24"/>
          <w:szCs w:val="24"/>
        </w:rPr>
        <w:t>13. 验收和工程试车</w:t>
      </w:r>
      <w:bookmarkEnd w:id="447"/>
    </w:p>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14:paraId="36BC8A2D">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13.1 分部分项工程验收</w:t>
      </w:r>
    </w:p>
    <w:p w14:paraId="1B9630E8">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13.1.2监理人不能按时进行验收时，应提前</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w:t>
      </w:r>
      <w:r>
        <w:rPr>
          <w:rFonts w:hint="eastAsia" w:ascii="宋体" w:hAnsi="宋体" w:cs="宋体"/>
          <w:b/>
          <w:color w:val="auto"/>
          <w:sz w:val="24"/>
          <w:szCs w:val="24"/>
          <w:u w:val="single"/>
          <w:lang w:val="en-US" w:eastAsia="zh-CN"/>
        </w:rPr>
        <w:t>/</w:t>
      </w:r>
      <w:r>
        <w:rPr>
          <w:rFonts w:hint="eastAsia" w:ascii="宋体" w:hAnsi="宋体" w:eastAsia="宋体" w:cs="宋体"/>
          <w:b/>
          <w:color w:val="auto"/>
          <w:sz w:val="24"/>
          <w:szCs w:val="24"/>
          <w:u w:val="single"/>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小时提交书面延期要求。</w:t>
      </w:r>
    </w:p>
    <w:p w14:paraId="436803F3">
      <w:pPr>
        <w:adjustRightInd w:val="0"/>
        <w:snapToGrid w:val="0"/>
        <w:spacing w:line="440" w:lineRule="exact"/>
        <w:ind w:firstLine="480" w:firstLineChars="200"/>
        <w:jc w:val="left"/>
        <w:rPr>
          <w:rFonts w:hint="eastAsia" w:ascii="宋体" w:hAnsi="宋体" w:eastAsia="宋体" w:cs="宋体"/>
          <w:b/>
          <w:color w:val="auto"/>
          <w:sz w:val="24"/>
          <w:szCs w:val="24"/>
        </w:rPr>
      </w:pPr>
      <w:r>
        <w:rPr>
          <w:rFonts w:hint="eastAsia" w:ascii="宋体" w:hAnsi="宋体" w:eastAsia="宋体" w:cs="宋体"/>
          <w:color w:val="auto"/>
          <w:sz w:val="24"/>
          <w:szCs w:val="24"/>
        </w:rPr>
        <w:t>关于延期最长不得超过：</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w:t>
      </w:r>
      <w:r>
        <w:rPr>
          <w:rFonts w:hint="eastAsia" w:ascii="宋体" w:hAnsi="宋体" w:cs="宋体"/>
          <w:b/>
          <w:color w:val="auto"/>
          <w:sz w:val="24"/>
          <w:szCs w:val="24"/>
          <w:u w:val="single"/>
          <w:lang w:val="en-US" w:eastAsia="zh-CN"/>
        </w:rPr>
        <w:t>/</w:t>
      </w:r>
      <w:r>
        <w:rPr>
          <w:rFonts w:hint="eastAsia" w:ascii="宋体" w:hAnsi="宋体" w:eastAsia="宋体" w:cs="宋体"/>
          <w:b/>
          <w:color w:val="auto"/>
          <w:sz w:val="24"/>
          <w:szCs w:val="24"/>
          <w:u w:val="single"/>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小时。</w:t>
      </w:r>
    </w:p>
    <w:p w14:paraId="43B8B781">
      <w:pPr>
        <w:spacing w:line="440" w:lineRule="exact"/>
        <w:ind w:firstLine="480" w:firstLineChars="200"/>
        <w:rPr>
          <w:rFonts w:hint="eastAsia" w:ascii="宋体" w:hAnsi="宋体" w:eastAsia="宋体" w:cs="宋体"/>
          <w:color w:val="auto"/>
          <w:sz w:val="24"/>
          <w:szCs w:val="24"/>
        </w:rPr>
      </w:pPr>
      <w:bookmarkStart w:id="464" w:name="_Toc280868704"/>
      <w:bookmarkStart w:id="465" w:name="_Toc280868705"/>
      <w:bookmarkStart w:id="466" w:name="_Toc280868706"/>
      <w:bookmarkStart w:id="467" w:name="_Toc280868707"/>
      <w:bookmarkStart w:id="468" w:name="_Toc280868708"/>
      <w:r>
        <w:rPr>
          <w:rFonts w:hint="eastAsia" w:ascii="宋体" w:hAnsi="宋体" w:eastAsia="宋体" w:cs="宋体"/>
          <w:color w:val="auto"/>
          <w:sz w:val="24"/>
          <w:szCs w:val="24"/>
        </w:rPr>
        <w:t>13.2.2竣工验收程序</w:t>
      </w:r>
    </w:p>
    <w:bookmarkEnd w:id="464"/>
    <w:p w14:paraId="68B2DEF9">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关于竣工验收程序的约定：</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按通用条款执行 </w:t>
      </w:r>
      <w:r>
        <w:rPr>
          <w:rFonts w:hint="eastAsia" w:ascii="宋体" w:hAnsi="宋体" w:eastAsia="宋体" w:cs="宋体"/>
          <w:color w:val="auto"/>
          <w:sz w:val="24"/>
          <w:szCs w:val="24"/>
        </w:rPr>
        <w:t>。</w:t>
      </w:r>
    </w:p>
    <w:p w14:paraId="3EE2D085">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发包人不按照本项约定组织竣工验收、颁发工程接收证书的违约金的计算方法：</w:t>
      </w:r>
      <w:r>
        <w:rPr>
          <w:rFonts w:hint="eastAsia" w:ascii="宋体" w:hAnsi="宋体" w:eastAsia="宋体" w:cs="宋体"/>
          <w:b/>
          <w:color w:val="auto"/>
          <w:sz w:val="24"/>
          <w:szCs w:val="24"/>
          <w:u w:val="single"/>
        </w:rPr>
        <w:t xml:space="preserve">    /   </w:t>
      </w:r>
      <w:r>
        <w:rPr>
          <w:rFonts w:hint="eastAsia" w:ascii="宋体" w:hAnsi="宋体" w:eastAsia="宋体" w:cs="宋体"/>
          <w:color w:val="auto"/>
          <w:sz w:val="24"/>
          <w:szCs w:val="24"/>
        </w:rPr>
        <w:t>。</w:t>
      </w:r>
    </w:p>
    <w:bookmarkEnd w:id="465"/>
    <w:p w14:paraId="6DA1B479">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13.2.5移交、接收全部与部分工程</w:t>
      </w:r>
    </w:p>
    <w:bookmarkEnd w:id="466"/>
    <w:p w14:paraId="1461CBEF">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承包人向发包人移交工程的期限：</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颁发工程接收证书后7天内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7D16363C">
      <w:pPr>
        <w:spacing w:line="440" w:lineRule="exact"/>
        <w:ind w:firstLine="480" w:firstLineChars="200"/>
        <w:rPr>
          <w:rFonts w:hint="eastAsia" w:ascii="宋体" w:hAnsi="宋体" w:eastAsia="宋体" w:cs="宋体"/>
          <w:color w:val="auto"/>
          <w:sz w:val="24"/>
          <w:szCs w:val="24"/>
          <w:u w:val="single"/>
        </w:rPr>
      </w:pPr>
      <w:r>
        <w:rPr>
          <w:rFonts w:hint="eastAsia" w:ascii="宋体" w:hAnsi="宋体" w:eastAsia="宋体" w:cs="宋体"/>
          <w:color w:val="auto"/>
          <w:sz w:val="24"/>
          <w:szCs w:val="24"/>
        </w:rPr>
        <w:t>发包人未按本合同约定接收全部或部分工程的，违约金的计算方法为：</w:t>
      </w:r>
      <w:r>
        <w:rPr>
          <w:rFonts w:hint="eastAsia" w:ascii="宋体" w:hAnsi="宋体" w:eastAsia="宋体" w:cs="宋体"/>
          <w:color w:val="auto"/>
          <w:sz w:val="24"/>
          <w:szCs w:val="24"/>
          <w:u w:val="single"/>
        </w:rPr>
        <w:t xml:space="preserve">   </w:t>
      </w:r>
      <w:r>
        <w:rPr>
          <w:rFonts w:hint="eastAsia" w:ascii="宋体" w:hAnsi="宋体" w:eastAsia="宋体" w:cs="宋体"/>
          <w:b/>
          <w:bCs/>
          <w:color w:val="auto"/>
          <w:sz w:val="24"/>
          <w:szCs w:val="24"/>
          <w:u w:val="single"/>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bookmarkEnd w:id="467"/>
    <w:p w14:paraId="19404726">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承包人未按时移交工程的，违约金的计算方法为：</w:t>
      </w:r>
      <w:r>
        <w:rPr>
          <w:rFonts w:hint="eastAsia" w:ascii="宋体" w:hAnsi="宋体" w:eastAsia="宋体" w:cs="宋体"/>
          <w:color w:val="auto"/>
          <w:sz w:val="24"/>
          <w:szCs w:val="24"/>
          <w:u w:val="single"/>
        </w:rPr>
        <w:t xml:space="preserve">  </w:t>
      </w:r>
      <w:r>
        <w:rPr>
          <w:rFonts w:hint="eastAsia" w:ascii="宋体" w:hAnsi="宋体" w:eastAsia="宋体" w:cs="宋体"/>
          <w:b/>
          <w:bCs/>
          <w:color w:val="auto"/>
          <w:sz w:val="24"/>
          <w:szCs w:val="24"/>
          <w:u w:val="single"/>
        </w:rPr>
        <w:t xml:space="preserve"> /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2ADA571A">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13.3 工程试车</w:t>
      </w:r>
    </w:p>
    <w:bookmarkEnd w:id="468"/>
    <w:p w14:paraId="7271250C">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13.3.1 试车程序</w:t>
      </w:r>
    </w:p>
    <w:p w14:paraId="30F6DA6C">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工程试车内容：</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31FD6E6E">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（1）单机无负荷试车费用由</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承担；</w:t>
      </w:r>
    </w:p>
    <w:p w14:paraId="5CE1BDC1">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（2）无负荷联动试车费用由</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承担。</w:t>
      </w:r>
    </w:p>
    <w:p w14:paraId="07A84E37">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13.3.3 投料试车</w:t>
      </w:r>
    </w:p>
    <w:p w14:paraId="716740F5">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关于投料试车相关事项的约定：</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w:t>
      </w:r>
      <w:r>
        <w:rPr>
          <w:rFonts w:hint="eastAsia" w:ascii="宋体" w:hAnsi="宋体" w:eastAsia="宋体" w:cs="宋体"/>
          <w:color w:val="auto"/>
          <w:sz w:val="24"/>
          <w:szCs w:val="24"/>
        </w:rPr>
        <w:t>。</w:t>
      </w:r>
    </w:p>
    <w:p w14:paraId="0B1C79E1">
      <w:pPr>
        <w:adjustRightInd w:val="0"/>
        <w:snapToGrid w:val="0"/>
        <w:spacing w:line="44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13.6 竣工退场</w:t>
      </w:r>
    </w:p>
    <w:p w14:paraId="01082600">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13.6.1 竣工退场</w:t>
      </w:r>
    </w:p>
    <w:p w14:paraId="79CD5361">
      <w:pPr>
        <w:spacing w:line="440" w:lineRule="exact"/>
        <w:ind w:firstLine="480" w:firstLineChars="200"/>
        <w:jc w:val="left"/>
        <w:rPr>
          <w:rFonts w:hint="eastAsia" w:ascii="宋体" w:hAnsi="宋体" w:eastAsia="宋体" w:cs="宋体"/>
          <w:b/>
          <w:color w:val="auto"/>
          <w:sz w:val="24"/>
          <w:szCs w:val="24"/>
          <w:u w:val="single"/>
        </w:rPr>
      </w:pPr>
      <w:r>
        <w:rPr>
          <w:rFonts w:hint="eastAsia" w:ascii="宋体" w:hAnsi="宋体" w:eastAsia="宋体" w:cs="宋体"/>
          <w:color w:val="auto"/>
          <w:sz w:val="24"/>
          <w:szCs w:val="24"/>
        </w:rPr>
        <w:t>承包人完成竣工退场的期限：</w:t>
      </w:r>
      <w:r>
        <w:rPr>
          <w:rFonts w:hint="eastAsia" w:ascii="宋体" w:hAnsi="宋体" w:eastAsia="宋体" w:cs="宋体"/>
          <w:b/>
          <w:color w:val="auto"/>
          <w:sz w:val="24"/>
          <w:szCs w:val="24"/>
          <w:u w:val="single"/>
        </w:rPr>
        <w:t>承包人须在工程竣工验收后7天内拆除现场所有临时设施。包括所有的建筑垃圾及剩余材料全部清运出现场的费用。清理标准应得到发包人认可。否则如发生相关费用，承包人同意由发包人在工程竣工结算价款中扣除，并按2000元/天向发包人支付违约金。</w:t>
      </w:r>
    </w:p>
    <w:p w14:paraId="3FE3A541">
      <w:pPr>
        <w:keepNext/>
        <w:keepLines/>
        <w:adjustRightInd w:val="0"/>
        <w:snapToGrid w:val="0"/>
        <w:spacing w:line="440" w:lineRule="exact"/>
        <w:ind w:firstLine="480" w:firstLineChars="200"/>
        <w:outlineLvl w:val="3"/>
        <w:rPr>
          <w:rFonts w:hint="eastAsia" w:ascii="宋体" w:hAnsi="宋体" w:eastAsia="宋体" w:cs="宋体"/>
          <w:bCs/>
          <w:color w:val="auto"/>
          <w:sz w:val="24"/>
          <w:szCs w:val="24"/>
        </w:rPr>
      </w:pPr>
      <w:bookmarkStart w:id="469" w:name="_Toc351203646"/>
      <w:r>
        <w:rPr>
          <w:rFonts w:hint="eastAsia" w:ascii="宋体" w:hAnsi="宋体" w:eastAsia="宋体" w:cs="宋体"/>
          <w:bCs/>
          <w:color w:val="auto"/>
          <w:sz w:val="24"/>
          <w:szCs w:val="24"/>
        </w:rPr>
        <w:t>14. 竣工结算</w:t>
      </w:r>
      <w:bookmarkEnd w:id="469"/>
    </w:p>
    <w:p w14:paraId="4A7E8C55">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14.1 竣工结算申请</w:t>
      </w:r>
    </w:p>
    <w:p w14:paraId="02CB535E">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承包人提交竣工结算申请单的期限：</w:t>
      </w:r>
      <w:r>
        <w:rPr>
          <w:rFonts w:hint="eastAsia" w:ascii="宋体" w:hAnsi="宋体" w:eastAsia="宋体" w:cs="宋体"/>
          <w:b/>
          <w:color w:val="auto"/>
          <w:sz w:val="24"/>
          <w:szCs w:val="24"/>
          <w:u w:val="single"/>
        </w:rPr>
        <w:t>见通用条款</w:t>
      </w:r>
      <w:r>
        <w:rPr>
          <w:rFonts w:hint="eastAsia" w:ascii="宋体" w:hAnsi="宋体" w:eastAsia="宋体" w:cs="宋体"/>
          <w:color w:val="auto"/>
          <w:sz w:val="24"/>
          <w:szCs w:val="24"/>
        </w:rPr>
        <w:t>。</w:t>
      </w:r>
    </w:p>
    <w:p w14:paraId="7C80DFF8">
      <w:pPr>
        <w:spacing w:line="440" w:lineRule="exact"/>
        <w:ind w:firstLine="480" w:firstLineChars="200"/>
        <w:jc w:val="left"/>
        <w:rPr>
          <w:rFonts w:hint="eastAsia" w:ascii="宋体" w:hAnsi="宋体" w:eastAsia="宋体" w:cs="宋体"/>
          <w:b/>
          <w:color w:val="auto"/>
          <w:sz w:val="24"/>
          <w:szCs w:val="24"/>
          <w:u w:val="single"/>
        </w:rPr>
      </w:pPr>
      <w:r>
        <w:rPr>
          <w:rFonts w:hint="eastAsia" w:ascii="宋体" w:hAnsi="宋体" w:eastAsia="宋体" w:cs="宋体"/>
          <w:color w:val="auto"/>
          <w:sz w:val="24"/>
          <w:szCs w:val="24"/>
        </w:rPr>
        <w:t>竣工结算申请单应包括的内容：</w:t>
      </w:r>
      <w:r>
        <w:rPr>
          <w:rFonts w:hint="eastAsia" w:ascii="宋体" w:hAnsi="宋体" w:eastAsia="宋体" w:cs="宋体"/>
          <w:b/>
          <w:color w:val="auto"/>
          <w:sz w:val="24"/>
          <w:szCs w:val="24"/>
          <w:u w:val="single"/>
        </w:rPr>
        <w:t>承包人在工程竣工后二个月内提供经监理工程师审查通过的三套完整的竣工图和竣工结算及其他资料，承包人提供的所有资料必须满足工程备案及送档案馆要求。承包人应当按时提交符合要求的结算资料，并经发包人确认后报相关审计机构进行审计。否则发包人可拒绝递交审计或延期审计并拒付工程款，由此带来的一切后果由承包人承担。逾期提交的，每逾期一天扣除工程款1000元。</w:t>
      </w:r>
    </w:p>
    <w:p w14:paraId="3F72EA8B">
      <w:pPr>
        <w:spacing w:line="440" w:lineRule="exact"/>
        <w:ind w:firstLine="482" w:firstLineChars="200"/>
        <w:jc w:val="left"/>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施工中没有设计变更，施工后由承包人在发包人提供的施工图纸上加盖竣工图章，提交发包人。</w:t>
      </w:r>
    </w:p>
    <w:p w14:paraId="63FFBB1A">
      <w:pPr>
        <w:spacing w:line="440" w:lineRule="exact"/>
        <w:ind w:firstLine="482" w:firstLineChars="200"/>
        <w:jc w:val="left"/>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施工中对原设计中变更较多，原施工图难于作为竣工图，应由承包人组织重新绘制竣工图，并承担相应费用。</w:t>
      </w:r>
    </w:p>
    <w:p w14:paraId="4E4D2E21">
      <w:pPr>
        <w:adjustRightInd w:val="0"/>
        <w:snapToGrid w:val="0"/>
        <w:spacing w:line="44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14.2 竣工结算审核</w:t>
      </w:r>
    </w:p>
    <w:p w14:paraId="776543F0">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发包人审批竣工付款申请单的期限：</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审计结束后30天内</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0F8E522F">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发包人完成竣工付款的期限：</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发包人在签发竣工付款证书后30天内。</w:t>
      </w:r>
    </w:p>
    <w:p w14:paraId="71742BDA">
      <w:pPr>
        <w:adjustRightInd w:val="0"/>
        <w:snapToGrid w:val="0"/>
        <w:spacing w:line="440" w:lineRule="exact"/>
        <w:ind w:firstLine="480" w:firstLineChars="200"/>
        <w:jc w:val="left"/>
        <w:rPr>
          <w:rFonts w:hint="eastAsia" w:ascii="宋体" w:hAnsi="宋体" w:eastAsia="宋体" w:cs="宋体"/>
          <w:b/>
          <w:color w:val="auto"/>
          <w:sz w:val="24"/>
          <w:szCs w:val="24"/>
          <w:u w:val="single"/>
        </w:rPr>
      </w:pPr>
      <w:r>
        <w:rPr>
          <w:rFonts w:hint="eastAsia" w:ascii="宋体" w:hAnsi="宋体" w:eastAsia="宋体" w:cs="宋体"/>
          <w:color w:val="auto"/>
          <w:sz w:val="24"/>
          <w:szCs w:val="24"/>
        </w:rPr>
        <w:t>关于竣工付款证书异议部分复核的方式和程序：</w:t>
      </w:r>
      <w:r>
        <w:rPr>
          <w:rFonts w:hint="eastAsia" w:ascii="宋体" w:hAnsi="宋体" w:eastAsia="宋体" w:cs="宋体"/>
          <w:b/>
          <w:color w:val="auto"/>
          <w:sz w:val="24"/>
          <w:szCs w:val="24"/>
          <w:u w:val="single"/>
        </w:rPr>
        <w:t>由双方协商。</w:t>
      </w:r>
    </w:p>
    <w:p w14:paraId="5A42CDE6">
      <w:pPr>
        <w:spacing w:line="440" w:lineRule="exact"/>
        <w:ind w:firstLine="482" w:firstLineChars="200"/>
        <w:rPr>
          <w:rFonts w:hint="eastAsia" w:ascii="宋体" w:hAnsi="宋体" w:eastAsia="宋体" w:cs="宋体"/>
          <w:b/>
          <w:color w:val="auto"/>
          <w:sz w:val="24"/>
          <w:szCs w:val="24"/>
          <w:u w:val="thick"/>
        </w:rPr>
      </w:pPr>
      <w:r>
        <w:rPr>
          <w:rFonts w:hint="eastAsia" w:ascii="宋体" w:hAnsi="宋体" w:eastAsia="宋体" w:cs="宋体"/>
          <w:b/>
          <w:color w:val="auto"/>
          <w:sz w:val="24"/>
          <w:szCs w:val="24"/>
          <w:u w:val="thick"/>
        </w:rPr>
        <w:t>14.3本工程竣工决算以发包人委托的具有资质的社会中介机构出具的审计报告为准。如果发包人委托的具有资质的社会中介机构出具审计报告后，政府审计部门抽查审计的，政府审计部门出具的审计报告和发包人委托的具有资质的社会中介机构出具的审计报告有误差的，以较低的价格为准。</w:t>
      </w:r>
      <w:r>
        <w:rPr>
          <w:rFonts w:hint="eastAsia" w:ascii="宋体" w:hAnsi="宋体" w:eastAsia="宋体" w:cs="宋体"/>
          <w:b/>
          <w:color w:val="auto"/>
          <w:sz w:val="24"/>
          <w:szCs w:val="24"/>
          <w:u w:val="thick"/>
        </w:rPr>
        <w:br w:type="textWrapping"/>
      </w:r>
      <w:r>
        <w:rPr>
          <w:rFonts w:hint="eastAsia" w:ascii="宋体" w:hAnsi="宋体" w:eastAsia="宋体" w:cs="宋体"/>
          <w:b/>
          <w:color w:val="auto"/>
          <w:sz w:val="24"/>
          <w:szCs w:val="24"/>
        </w:rPr>
        <w:t xml:space="preserve">    </w:t>
      </w:r>
      <w:r>
        <w:rPr>
          <w:rFonts w:hint="eastAsia" w:ascii="宋体" w:hAnsi="宋体" w:eastAsia="宋体" w:cs="宋体"/>
          <w:b/>
          <w:color w:val="auto"/>
          <w:sz w:val="24"/>
          <w:szCs w:val="24"/>
          <w:u w:val="thick"/>
        </w:rPr>
        <w:t>因发包人管理的工程项目较多，发包人保证在承包人提交竣工决算资料后及时提交审计机关进行审计或委托社会中介机构进行审计，因发包人无法完全控制审计机关的审计时限或者中介机构的审计时限，因此在审计机关出具审计报告或发包人委托的中介机构出具审计报告前，发包人不具有对承包人提交的竣工决算资料进行审核和答复的义务。除非发包人书面认可承包人的竣工决算资料，承包人同意不得援引任何部委规章或者以其他任何方式推定发包人认可承包人的竣工决算资料。</w:t>
      </w:r>
    </w:p>
    <w:p w14:paraId="3E9E0D06">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14.4 单项工程结算审计核减率超过10%，由编制竣工决算的承包人承担全部审计费用；审计核减率在8%-10%（含10%）之间，由编制竣工决算的承包人承担全部审计费用的80%；审计核减率在5%-8%（含8%）之间，由编制竣工决算的承包人承担全部审计费用的50%；审计核减率在5%（含5%）以下，审计费用由委托单位承担。上述需由编制单位承担的审计费用在单项工程结算审定价中扣除。</w:t>
      </w:r>
    </w:p>
    <w:p w14:paraId="73339199">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14.5 最终结清</w:t>
      </w:r>
    </w:p>
    <w:p w14:paraId="0BAEDEF2">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14.5.1 最终结清申请单</w:t>
      </w:r>
    </w:p>
    <w:p w14:paraId="1E3B237D">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承包人提交最终结清申请单的份数：</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按发包人最终要求</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6B21A561">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承包人提交最终结算申请单的期限：</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按通用条款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p>
    <w:p w14:paraId="4016E2D5">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14.5.2 最终结清证书和支付</w:t>
      </w:r>
    </w:p>
    <w:p w14:paraId="787CEBCF">
      <w:pPr>
        <w:adjustRightInd w:val="0"/>
        <w:snapToGrid w:val="0"/>
        <w:spacing w:line="440" w:lineRule="exact"/>
        <w:ind w:firstLine="480" w:firstLineChars="200"/>
        <w:jc w:val="left"/>
        <w:rPr>
          <w:rFonts w:hint="eastAsia" w:ascii="宋体" w:hAnsi="宋体" w:eastAsia="宋体" w:cs="宋体"/>
          <w:b/>
          <w:color w:val="auto"/>
          <w:sz w:val="24"/>
          <w:szCs w:val="24"/>
          <w:u w:val="single"/>
        </w:rPr>
      </w:pPr>
      <w:r>
        <w:rPr>
          <w:rFonts w:hint="eastAsia" w:ascii="宋体" w:hAnsi="宋体" w:eastAsia="宋体" w:cs="宋体"/>
          <w:color w:val="auto"/>
          <w:sz w:val="24"/>
          <w:szCs w:val="24"/>
        </w:rPr>
        <w:t>（1）发包人完成最终结清申请单的审批并颁发最终结清证书的期限：</w:t>
      </w:r>
      <w:r>
        <w:rPr>
          <w:rFonts w:hint="eastAsia" w:ascii="宋体" w:hAnsi="宋体" w:eastAsia="宋体" w:cs="宋体"/>
          <w:b/>
          <w:color w:val="auto"/>
          <w:sz w:val="24"/>
          <w:szCs w:val="24"/>
          <w:u w:val="single"/>
        </w:rPr>
        <w:t>收到承包人提交的最终结清申请单后30天内。</w:t>
      </w:r>
    </w:p>
    <w:p w14:paraId="27B3A1E8">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（2）发包人完成支付的期限：</w:t>
      </w:r>
      <w:r>
        <w:rPr>
          <w:rFonts w:hint="eastAsia" w:ascii="宋体" w:hAnsi="宋体" w:eastAsia="宋体" w:cs="宋体"/>
          <w:b/>
          <w:color w:val="auto"/>
          <w:sz w:val="24"/>
          <w:szCs w:val="24"/>
          <w:u w:val="single"/>
        </w:rPr>
        <w:t>颁发最终结清证书后30天内 。</w:t>
      </w:r>
    </w:p>
    <w:p w14:paraId="0649BF06">
      <w:pPr>
        <w:keepNext/>
        <w:keepLines/>
        <w:adjustRightInd w:val="0"/>
        <w:snapToGrid w:val="0"/>
        <w:spacing w:line="440" w:lineRule="exact"/>
        <w:ind w:firstLine="480" w:firstLineChars="200"/>
        <w:outlineLvl w:val="3"/>
        <w:rPr>
          <w:rFonts w:hint="eastAsia" w:ascii="宋体" w:hAnsi="宋体" w:eastAsia="宋体" w:cs="宋体"/>
          <w:bCs/>
          <w:color w:val="auto"/>
          <w:sz w:val="24"/>
          <w:szCs w:val="24"/>
        </w:rPr>
      </w:pPr>
      <w:bookmarkStart w:id="470" w:name="_Toc351203647"/>
      <w:bookmarkStart w:id="471" w:name="_Toc267251483"/>
      <w:bookmarkStart w:id="472" w:name="_Toc267251484"/>
      <w:bookmarkStart w:id="473" w:name="_Toc267251482"/>
      <w:bookmarkStart w:id="474" w:name="_Toc267251485"/>
      <w:bookmarkStart w:id="475" w:name="_Toc267251490"/>
      <w:bookmarkStart w:id="476" w:name="_Toc267251489"/>
      <w:bookmarkStart w:id="477" w:name="_Toc267251488"/>
      <w:bookmarkStart w:id="478" w:name="_Toc267251486"/>
      <w:r>
        <w:rPr>
          <w:rFonts w:hint="eastAsia" w:ascii="宋体" w:hAnsi="宋体" w:eastAsia="宋体" w:cs="宋体"/>
          <w:bCs/>
          <w:color w:val="auto"/>
          <w:sz w:val="24"/>
          <w:szCs w:val="24"/>
        </w:rPr>
        <w:t>15. 缺陷责任期与保修</w:t>
      </w:r>
      <w:bookmarkEnd w:id="470"/>
    </w:p>
    <w:p w14:paraId="62EDCA03">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15.2缺陷责任期</w:t>
      </w:r>
      <w:bookmarkEnd w:id="471"/>
    </w:p>
    <w:p w14:paraId="050C564C">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缺陷责任期的具体期限：</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详见质量保修书</w:t>
      </w:r>
      <w:r>
        <w:rPr>
          <w:rFonts w:hint="eastAsia" w:ascii="宋体" w:hAnsi="宋体" w:eastAsia="宋体" w:cs="宋体"/>
          <w:color w:val="auto"/>
          <w:sz w:val="24"/>
          <w:szCs w:val="24"/>
        </w:rPr>
        <w:t>。</w:t>
      </w:r>
    </w:p>
    <w:p w14:paraId="0838A567">
      <w:pPr>
        <w:adjustRightInd w:val="0"/>
        <w:snapToGrid w:val="0"/>
        <w:spacing w:line="44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15.3 质量保证金</w:t>
      </w:r>
    </w:p>
    <w:p w14:paraId="0232E101">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关于是否扣留质量保证金的约定：</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扣留 </w:t>
      </w:r>
      <w:r>
        <w:rPr>
          <w:rFonts w:hint="eastAsia" w:ascii="宋体" w:hAnsi="宋体" w:eastAsia="宋体" w:cs="宋体"/>
          <w:color w:val="auto"/>
          <w:sz w:val="24"/>
          <w:szCs w:val="24"/>
        </w:rPr>
        <w:t>。</w:t>
      </w:r>
    </w:p>
    <w:p w14:paraId="100088BB">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在工程项目竣工前，承包人按专用合同条款第3.7条提供履约担保的，发包人不得同时预留工程质量保证金。</w:t>
      </w:r>
    </w:p>
    <w:p w14:paraId="7204AB3F">
      <w:pPr>
        <w:adjustRightInd w:val="0"/>
        <w:snapToGrid w:val="0"/>
        <w:spacing w:line="440" w:lineRule="exact"/>
        <w:ind w:firstLine="480" w:firstLineChars="200"/>
        <w:jc w:val="left"/>
        <w:outlineLvl w:val="0"/>
        <w:rPr>
          <w:rFonts w:hint="eastAsia" w:ascii="宋体" w:hAnsi="宋体" w:eastAsia="宋体" w:cs="宋体"/>
          <w:color w:val="auto"/>
          <w:sz w:val="24"/>
          <w:szCs w:val="24"/>
        </w:rPr>
      </w:pPr>
      <w:r>
        <w:rPr>
          <w:rFonts w:hint="eastAsia" w:ascii="宋体" w:hAnsi="宋体" w:eastAsia="宋体" w:cs="宋体"/>
          <w:color w:val="auto"/>
          <w:sz w:val="24"/>
          <w:szCs w:val="24"/>
        </w:rPr>
        <w:t>15.3.1 承包人提供质量保证金的方式</w:t>
      </w:r>
    </w:p>
    <w:p w14:paraId="29700629">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质量保证金采用以下第</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（2）</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种方式：</w:t>
      </w:r>
    </w:p>
    <w:p w14:paraId="51F86B35">
      <w:pPr>
        <w:autoSpaceDE w:val="0"/>
        <w:autoSpaceDN w:val="0"/>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（1）质量保证金保函，保证金额为：</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 xml:space="preserve">； </w:t>
      </w:r>
    </w:p>
    <w:p w14:paraId="2A318882">
      <w:pPr>
        <w:autoSpaceDE w:val="0"/>
        <w:autoSpaceDN w:val="0"/>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最终审计价</w:t>
      </w:r>
      <w:r>
        <w:rPr>
          <w:rFonts w:hint="eastAsia" w:ascii="宋体" w:hAnsi="宋体" w:cs="宋体"/>
          <w:b/>
          <w:color w:val="auto"/>
          <w:sz w:val="24"/>
          <w:szCs w:val="24"/>
          <w:u w:val="single"/>
          <w:lang w:val="en-US" w:eastAsia="zh-CN"/>
        </w:rPr>
        <w:t>10</w:t>
      </w:r>
      <w:r>
        <w:rPr>
          <w:rFonts w:hint="eastAsia" w:ascii="宋体" w:hAnsi="宋体" w:eastAsia="宋体" w:cs="宋体"/>
          <w:b/>
          <w:color w:val="auto"/>
          <w:sz w:val="24"/>
          <w:szCs w:val="24"/>
          <w:u w:val="single"/>
        </w:rPr>
        <w:t xml:space="preserve"> </w:t>
      </w:r>
      <w:r>
        <w:rPr>
          <w:rFonts w:hint="eastAsia" w:ascii="宋体" w:hAnsi="宋体" w:eastAsia="宋体" w:cs="宋体"/>
          <w:b/>
          <w:color w:val="auto"/>
          <w:sz w:val="24"/>
          <w:szCs w:val="24"/>
        </w:rPr>
        <w:t>%</w:t>
      </w:r>
      <w:r>
        <w:rPr>
          <w:rFonts w:hint="eastAsia" w:ascii="宋体" w:hAnsi="宋体" w:eastAsia="宋体" w:cs="宋体"/>
          <w:color w:val="auto"/>
          <w:sz w:val="24"/>
          <w:szCs w:val="24"/>
        </w:rPr>
        <w:t>的工程款；</w:t>
      </w:r>
    </w:p>
    <w:p w14:paraId="75692C6C">
      <w:pPr>
        <w:autoSpaceDE w:val="0"/>
        <w:autoSpaceDN w:val="0"/>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（3）其他方式:</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53F42807">
      <w:pPr>
        <w:adjustRightInd w:val="0"/>
        <w:snapToGrid w:val="0"/>
        <w:spacing w:line="440" w:lineRule="exact"/>
        <w:ind w:firstLine="480" w:firstLineChars="200"/>
        <w:jc w:val="left"/>
        <w:outlineLvl w:val="0"/>
        <w:rPr>
          <w:rFonts w:hint="eastAsia" w:ascii="宋体" w:hAnsi="宋体" w:eastAsia="宋体" w:cs="宋体"/>
          <w:color w:val="auto"/>
          <w:sz w:val="24"/>
          <w:szCs w:val="24"/>
        </w:rPr>
      </w:pPr>
      <w:r>
        <w:rPr>
          <w:rFonts w:hint="eastAsia" w:ascii="宋体" w:hAnsi="宋体" w:eastAsia="宋体" w:cs="宋体"/>
          <w:color w:val="auto"/>
          <w:sz w:val="24"/>
          <w:szCs w:val="24"/>
        </w:rPr>
        <w:t xml:space="preserve">15.3.2 质量保证金的扣留 </w:t>
      </w:r>
    </w:p>
    <w:p w14:paraId="76FEA0E3">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质量保证金的扣留采取以下第</w:t>
      </w:r>
      <w:r>
        <w:rPr>
          <w:rFonts w:hint="eastAsia" w:ascii="宋体" w:hAnsi="宋体" w:eastAsia="宋体" w:cs="宋体"/>
          <w:b/>
          <w:color w:val="auto"/>
          <w:sz w:val="24"/>
          <w:szCs w:val="24"/>
          <w:u w:val="single"/>
        </w:rPr>
        <w:t>（2）</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种方式：</w:t>
      </w:r>
    </w:p>
    <w:p w14:paraId="7645FD11">
      <w:pPr>
        <w:autoSpaceDE w:val="0"/>
        <w:autoSpaceDN w:val="0"/>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（1）在支付工程进度款时逐次扣留，在此情形下，质量保证金的计算基数不包括预付款的支付、扣回以及价格调整的金额；</w:t>
      </w:r>
    </w:p>
    <w:p w14:paraId="24C978F4">
      <w:pPr>
        <w:autoSpaceDE w:val="0"/>
        <w:autoSpaceDN w:val="0"/>
        <w:adjustRightInd w:val="0"/>
        <w:snapToGrid w:val="0"/>
        <w:spacing w:line="440" w:lineRule="exact"/>
        <w:ind w:firstLine="480" w:firstLineChars="200"/>
        <w:jc w:val="left"/>
        <w:outlineLvl w:val="0"/>
        <w:rPr>
          <w:rFonts w:hint="eastAsia" w:ascii="宋体" w:hAnsi="宋体" w:eastAsia="宋体" w:cs="宋体"/>
          <w:color w:val="auto"/>
          <w:sz w:val="24"/>
          <w:szCs w:val="24"/>
        </w:rPr>
      </w:pPr>
      <w:r>
        <w:rPr>
          <w:rFonts w:hint="eastAsia" w:ascii="宋体" w:hAnsi="宋体" w:eastAsia="宋体" w:cs="宋体"/>
          <w:color w:val="auto"/>
          <w:sz w:val="24"/>
          <w:szCs w:val="24"/>
        </w:rPr>
        <w:t>（2）工程竣工结算时一次性扣留质量保证金；</w:t>
      </w:r>
    </w:p>
    <w:p w14:paraId="1B9A527E">
      <w:pPr>
        <w:autoSpaceDE w:val="0"/>
        <w:autoSpaceDN w:val="0"/>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（3）其他扣留方式:</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bookmarkEnd w:id="472"/>
    <w:bookmarkEnd w:id="473"/>
    <w:p w14:paraId="3C30ECCF">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15.4保修</w:t>
      </w:r>
    </w:p>
    <w:bookmarkEnd w:id="474"/>
    <w:p w14:paraId="65C49887">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15.4.1 保修责任</w:t>
      </w:r>
    </w:p>
    <w:p w14:paraId="5845DF26">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工程保修期为：</w:t>
      </w:r>
      <w:r>
        <w:rPr>
          <w:rFonts w:hint="eastAsia" w:ascii="宋体" w:hAnsi="宋体" w:eastAsia="宋体" w:cs="宋体"/>
          <w:b/>
          <w:color w:val="auto"/>
          <w:sz w:val="24"/>
          <w:szCs w:val="24"/>
          <w:u w:val="single"/>
        </w:rPr>
        <w:t>见工程质量保修书</w:t>
      </w:r>
      <w:r>
        <w:rPr>
          <w:rFonts w:hint="eastAsia" w:ascii="宋体" w:hAnsi="宋体" w:eastAsia="宋体" w:cs="宋体"/>
          <w:color w:val="auto"/>
          <w:sz w:val="24"/>
          <w:szCs w:val="24"/>
        </w:rPr>
        <w:t>。</w:t>
      </w:r>
    </w:p>
    <w:bookmarkEnd w:id="475"/>
    <w:bookmarkEnd w:id="476"/>
    <w:bookmarkEnd w:id="477"/>
    <w:bookmarkEnd w:id="478"/>
    <w:p w14:paraId="3DAC98F6">
      <w:pPr>
        <w:spacing w:line="440" w:lineRule="exact"/>
        <w:ind w:firstLine="480" w:firstLineChars="200"/>
        <w:jc w:val="left"/>
        <w:rPr>
          <w:rFonts w:hint="eastAsia" w:ascii="宋体" w:hAnsi="宋体" w:eastAsia="宋体" w:cs="宋体"/>
          <w:color w:val="auto"/>
          <w:sz w:val="24"/>
          <w:szCs w:val="24"/>
        </w:rPr>
      </w:pPr>
      <w:bookmarkStart w:id="479" w:name="_Toc351203648"/>
      <w:r>
        <w:rPr>
          <w:rFonts w:hint="eastAsia" w:ascii="宋体" w:hAnsi="宋体" w:eastAsia="宋体" w:cs="宋体"/>
          <w:color w:val="auto"/>
          <w:sz w:val="24"/>
          <w:szCs w:val="24"/>
        </w:rPr>
        <w:t>15.4.2 修复费用</w:t>
      </w:r>
    </w:p>
    <w:p w14:paraId="056AF950">
      <w:pPr>
        <w:spacing w:line="440" w:lineRule="exact"/>
        <w:ind w:firstLine="482" w:firstLineChars="200"/>
        <w:jc w:val="left"/>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保修期内，修复的费用按照以下约定处理：</w:t>
      </w:r>
    </w:p>
    <w:p w14:paraId="3A830C1C">
      <w:pPr>
        <w:spacing w:line="440" w:lineRule="exact"/>
        <w:ind w:firstLine="482" w:firstLineChars="200"/>
        <w:jc w:val="left"/>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(1)保修期内，因承包人原因造成工程的缺陷、损坏，承包人应负责修复，并承担修复的费用以及因工程的缺陷、损坏造成的人身伤害和财产损失;</w:t>
      </w:r>
    </w:p>
    <w:p w14:paraId="43104B16">
      <w:pPr>
        <w:spacing w:line="440" w:lineRule="exact"/>
        <w:ind w:firstLine="482" w:firstLineChars="200"/>
        <w:jc w:val="left"/>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(2)保修期内，因发包人使用不当造成工程的缺陷、损坏，可以委托承包人修复，但发包人应承担修复的费用;</w:t>
      </w:r>
    </w:p>
    <w:p w14:paraId="608753D1">
      <w:pPr>
        <w:spacing w:line="440" w:lineRule="exact"/>
        <w:ind w:firstLine="482" w:firstLineChars="200"/>
        <w:jc w:val="left"/>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(3)因其他原因造成工程的缺陷、损坏，可以委托承包人修复，发包人应承担修复的费用，因工程的缺陷、损坏造成的人身伤害和财产损失由责任方承担。</w:t>
      </w:r>
    </w:p>
    <w:p w14:paraId="4FA41AF5">
      <w:pPr>
        <w:spacing w:line="440" w:lineRule="exact"/>
        <w:ind w:firstLine="482" w:firstLineChars="200"/>
        <w:jc w:val="left"/>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15.4.3 修复通知</w:t>
      </w:r>
    </w:p>
    <w:p w14:paraId="4F828DFC">
      <w:pPr>
        <w:spacing w:line="440" w:lineRule="exact"/>
        <w:ind w:firstLine="482" w:firstLineChars="200"/>
        <w:jc w:val="left"/>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在保修期内，发包人在使用过程中，发现已接收的工程存在缺陷或损坏的，应书面通知承包人予以修复，但情况紧急必须立即修复缺陷或损坏的，发包人可以口头通知承包人并在口头通知后48小时内书面确认，承包人应在专用合同条款约定的合理期限内到达工程现场并修复缺陷或损坏。</w:t>
      </w:r>
    </w:p>
    <w:p w14:paraId="3CFD2376">
      <w:pPr>
        <w:spacing w:line="440" w:lineRule="exact"/>
        <w:ind w:firstLine="482" w:firstLineChars="200"/>
        <w:jc w:val="left"/>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15.4.4 未能修复</w:t>
      </w:r>
    </w:p>
    <w:p w14:paraId="0B9C1D03">
      <w:pPr>
        <w:spacing w:line="440" w:lineRule="exact"/>
        <w:ind w:firstLine="482" w:firstLineChars="200"/>
        <w:jc w:val="left"/>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因承包人原因造成工程的缺陷或损坏，承包人拒绝维修或未能在合理期限内修复缺陷或损坏，且经发包人书面催告后仍未修复的，发包人有权自行修复或委托第三方修复，所需费用由承包人承担。</w:t>
      </w:r>
    </w:p>
    <w:p w14:paraId="45F840D3">
      <w:pPr>
        <w:spacing w:line="440" w:lineRule="exact"/>
        <w:ind w:firstLine="482" w:firstLineChars="200"/>
        <w:jc w:val="left"/>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15.4.5 承包人出入权</w:t>
      </w:r>
    </w:p>
    <w:p w14:paraId="4107B6AF">
      <w:pPr>
        <w:spacing w:line="440" w:lineRule="exact"/>
        <w:ind w:firstLine="482" w:firstLineChars="200"/>
        <w:jc w:val="left"/>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在保修期内，为了修复缺陷或损坏，承包人有权出入工程现场，除情况紧急必须立即修复缺陷或损坏外，承包人应提前24小时通知发包人进场修复的时间。承包人进入工程现场前应获得发包人同意，且不应影响发包人正常的生产经营，并应遵守发包人有关保安和保密等规定。</w:t>
      </w:r>
    </w:p>
    <w:p w14:paraId="17BF076C">
      <w:pPr>
        <w:adjustRightInd w:val="0"/>
        <w:snapToGrid w:val="0"/>
        <w:spacing w:line="440" w:lineRule="exact"/>
        <w:ind w:firstLine="482" w:firstLineChars="200"/>
        <w:jc w:val="left"/>
        <w:rPr>
          <w:rFonts w:hint="eastAsia" w:ascii="宋体" w:hAnsi="宋体" w:eastAsia="宋体" w:cs="宋体"/>
          <w:b/>
          <w:color w:val="auto"/>
          <w:sz w:val="24"/>
          <w:szCs w:val="24"/>
        </w:rPr>
      </w:pPr>
      <w:r>
        <w:rPr>
          <w:rFonts w:hint="eastAsia" w:ascii="宋体" w:hAnsi="宋体" w:eastAsia="宋体" w:cs="宋体"/>
          <w:b/>
          <w:color w:val="auto"/>
          <w:sz w:val="24"/>
          <w:szCs w:val="24"/>
        </w:rPr>
        <w:t>16. 违约</w:t>
      </w:r>
      <w:bookmarkEnd w:id="479"/>
    </w:p>
    <w:p w14:paraId="489ED7C1">
      <w:pPr>
        <w:adjustRightInd w:val="0"/>
        <w:snapToGrid w:val="0"/>
        <w:spacing w:line="44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16.1 发包人违约</w:t>
      </w:r>
    </w:p>
    <w:p w14:paraId="2D48888C">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16.1.1发包人违约的情形</w:t>
      </w:r>
    </w:p>
    <w:p w14:paraId="217F00EF">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发包人违约的其他情形：</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26710BCB">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16.1.2 发包人违约的责任</w:t>
      </w:r>
    </w:p>
    <w:p w14:paraId="72B01FD7">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发包人违约责任的承担方式和计算方法：</w:t>
      </w:r>
    </w:p>
    <w:p w14:paraId="0A91F2A4">
      <w:pPr>
        <w:spacing w:line="440" w:lineRule="exact"/>
        <w:ind w:firstLine="480" w:firstLineChars="200"/>
        <w:rPr>
          <w:rFonts w:hint="eastAsia" w:ascii="宋体" w:hAnsi="宋体" w:eastAsia="宋体" w:cs="宋体"/>
          <w:b/>
          <w:color w:val="auto"/>
          <w:sz w:val="24"/>
          <w:szCs w:val="24"/>
          <w:u w:val="single"/>
        </w:rPr>
      </w:pPr>
      <w:r>
        <w:rPr>
          <w:rFonts w:hint="eastAsia" w:ascii="宋体" w:hAnsi="宋体" w:eastAsia="宋体" w:cs="宋体"/>
          <w:color w:val="auto"/>
          <w:sz w:val="24"/>
          <w:szCs w:val="24"/>
        </w:rPr>
        <w:t>（1）因发包人原因未能在计划开工日期前7天内下达开工通知的违约责任：</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双方另行协商 。</w:t>
      </w:r>
    </w:p>
    <w:p w14:paraId="4F1759AF">
      <w:pPr>
        <w:spacing w:line="440" w:lineRule="exact"/>
        <w:ind w:firstLine="480" w:firstLineChars="200"/>
        <w:rPr>
          <w:rFonts w:hint="eastAsia" w:ascii="宋体" w:hAnsi="宋体" w:eastAsia="宋体" w:cs="宋体"/>
          <w:b/>
          <w:color w:val="auto"/>
          <w:sz w:val="24"/>
          <w:szCs w:val="24"/>
        </w:rPr>
      </w:pPr>
      <w:r>
        <w:rPr>
          <w:rFonts w:hint="eastAsia" w:ascii="宋体" w:hAnsi="宋体" w:eastAsia="宋体" w:cs="宋体"/>
          <w:color w:val="auto"/>
          <w:sz w:val="24"/>
          <w:szCs w:val="24"/>
        </w:rPr>
        <w:t>（2）因发包人原因未能按合同约定支付合同价款的违约责任：</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双方另行协商  </w:t>
      </w:r>
      <w:r>
        <w:rPr>
          <w:rFonts w:hint="eastAsia" w:ascii="宋体" w:hAnsi="宋体" w:eastAsia="宋体" w:cs="宋体"/>
          <w:b/>
          <w:color w:val="auto"/>
          <w:sz w:val="24"/>
          <w:szCs w:val="24"/>
        </w:rPr>
        <w:t>。</w:t>
      </w:r>
    </w:p>
    <w:p w14:paraId="2E480E91">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（3）发包人违反第10.1款〔变更的范围〕第（2）项约定，自行实施被取消的工作或转由他人实施的违约责任：</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双方另行协商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3FA1A0AD">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（4）发包人提供的材料、工程设备的规格、数量或质量不符合合同约定，或因发包人原因导致交货日期延误或交货地点变更等情况的违约责任：</w:t>
      </w:r>
      <w:r>
        <w:rPr>
          <w:rFonts w:hint="eastAsia" w:ascii="宋体" w:hAnsi="宋体" w:eastAsia="宋体" w:cs="宋体"/>
          <w:color w:val="auto"/>
          <w:sz w:val="24"/>
          <w:szCs w:val="24"/>
          <w:u w:val="single"/>
        </w:rPr>
        <w:t xml:space="preserve"> </w:t>
      </w:r>
      <w:r>
        <w:rPr>
          <w:rFonts w:hint="eastAsia" w:ascii="宋体" w:hAnsi="宋体" w:eastAsia="宋体" w:cs="宋体"/>
          <w:b/>
          <w:bCs/>
          <w:color w:val="auto"/>
          <w:sz w:val="24"/>
          <w:szCs w:val="24"/>
          <w:u w:val="single"/>
        </w:rPr>
        <w:t xml:space="preserve"> </w:t>
      </w:r>
      <w:r>
        <w:rPr>
          <w:rFonts w:hint="eastAsia" w:ascii="宋体" w:hAnsi="宋体" w:eastAsia="宋体" w:cs="宋体"/>
          <w:b/>
          <w:color w:val="auto"/>
          <w:sz w:val="24"/>
          <w:szCs w:val="24"/>
          <w:u w:val="single"/>
        </w:rPr>
        <w:t xml:space="preserve">双方另行协商 </w:t>
      </w:r>
      <w:r>
        <w:rPr>
          <w:rFonts w:hint="eastAsia" w:ascii="宋体" w:hAnsi="宋体" w:eastAsia="宋体" w:cs="宋体"/>
          <w:b/>
          <w:color w:val="auto"/>
          <w:sz w:val="24"/>
          <w:szCs w:val="24"/>
        </w:rPr>
        <w:t>。</w:t>
      </w:r>
    </w:p>
    <w:p w14:paraId="5642853D">
      <w:pPr>
        <w:spacing w:line="440" w:lineRule="exact"/>
        <w:ind w:firstLine="480" w:firstLineChars="200"/>
        <w:rPr>
          <w:rFonts w:hint="eastAsia" w:ascii="宋体" w:hAnsi="宋体" w:eastAsia="宋体" w:cs="宋体"/>
          <w:b/>
          <w:color w:val="auto"/>
          <w:sz w:val="24"/>
          <w:szCs w:val="24"/>
        </w:rPr>
      </w:pPr>
      <w:r>
        <w:rPr>
          <w:rFonts w:hint="eastAsia" w:ascii="宋体" w:hAnsi="宋体" w:eastAsia="宋体" w:cs="宋体"/>
          <w:color w:val="auto"/>
          <w:sz w:val="24"/>
          <w:szCs w:val="24"/>
        </w:rPr>
        <w:t>（5）因发包人违反合同约定造成暂停施工的违约责任：</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双方另行协商  </w:t>
      </w:r>
      <w:r>
        <w:rPr>
          <w:rFonts w:hint="eastAsia" w:ascii="宋体" w:hAnsi="宋体" w:eastAsia="宋体" w:cs="宋体"/>
          <w:b/>
          <w:color w:val="auto"/>
          <w:sz w:val="24"/>
          <w:szCs w:val="24"/>
        </w:rPr>
        <w:t>。</w:t>
      </w:r>
    </w:p>
    <w:p w14:paraId="4CE37DBF">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（6）发包人无正当理由没有在约定期限内发出复工指示，导致承包人无法复工的违约责任：</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双方另行协商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05D46C9C">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（7）其他：</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             </w:t>
      </w:r>
      <w:r>
        <w:rPr>
          <w:rFonts w:hint="eastAsia" w:ascii="宋体" w:hAnsi="宋体" w:eastAsia="宋体" w:cs="宋体"/>
          <w:b/>
          <w:color w:val="auto"/>
          <w:sz w:val="24"/>
          <w:szCs w:val="24"/>
        </w:rPr>
        <w:t>。</w:t>
      </w:r>
    </w:p>
    <w:p w14:paraId="503F7B3C">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16.1.3 因发包人违约解除合同</w:t>
      </w:r>
    </w:p>
    <w:p w14:paraId="6CD59E45">
      <w:pPr>
        <w:autoSpaceDE w:val="0"/>
        <w:autoSpaceDN w:val="0"/>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承包人按16.1.1项〔发包人违约的情形〕约定暂停施工满</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60</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天后发包人仍不纠正其违约行为并致使合同目的不能实现的，承包人有权解除合同。</w:t>
      </w:r>
    </w:p>
    <w:p w14:paraId="327FF5DA">
      <w:pPr>
        <w:adjustRightInd w:val="0"/>
        <w:snapToGrid w:val="0"/>
        <w:spacing w:line="44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16.2 承包人违约</w:t>
      </w:r>
    </w:p>
    <w:p w14:paraId="48E24415">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16.2.1 承包人违约的情形</w:t>
      </w:r>
    </w:p>
    <w:p w14:paraId="5972DA55">
      <w:pPr>
        <w:autoSpaceDE w:val="0"/>
        <w:autoSpaceDN w:val="0"/>
        <w:adjustRightInd w:val="0"/>
        <w:spacing w:line="440" w:lineRule="exact"/>
        <w:ind w:firstLine="480" w:firstLineChars="200"/>
        <w:rPr>
          <w:rFonts w:hint="eastAsia" w:ascii="宋体" w:hAnsi="宋体" w:eastAsia="宋体" w:cs="宋体"/>
          <w:color w:val="auto"/>
          <w:sz w:val="24"/>
          <w:szCs w:val="24"/>
          <w:u w:val="single"/>
        </w:rPr>
      </w:pPr>
      <w:r>
        <w:rPr>
          <w:rFonts w:hint="eastAsia" w:ascii="宋体" w:hAnsi="宋体" w:eastAsia="宋体" w:cs="宋体"/>
          <w:color w:val="auto"/>
          <w:sz w:val="24"/>
          <w:szCs w:val="24"/>
        </w:rPr>
        <w:t>承包人违约的其他情形：</w:t>
      </w:r>
      <w:r>
        <w:rPr>
          <w:rFonts w:hint="eastAsia" w:ascii="宋体" w:hAnsi="宋体" w:eastAsia="宋体" w:cs="宋体"/>
          <w:color w:val="auto"/>
          <w:sz w:val="24"/>
          <w:szCs w:val="24"/>
          <w:u w:val="single"/>
        </w:rPr>
        <w:t xml:space="preserve"> </w:t>
      </w:r>
    </w:p>
    <w:p w14:paraId="4D59E661">
      <w:pPr>
        <w:autoSpaceDE w:val="0"/>
        <w:autoSpaceDN w:val="0"/>
        <w:adjustRightInd w:val="0"/>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（1）若承包人未按期开工，则发包人按延期2000元/天向承包人收取违约金；若超过7天，则按延期5000元/天向承包人收取违约金；若超过15天，则发包人有权终止合同。</w:t>
      </w:r>
    </w:p>
    <w:p w14:paraId="4BAAFA27">
      <w:pPr>
        <w:autoSpaceDE w:val="0"/>
        <w:autoSpaceDN w:val="0"/>
        <w:adjustRightInd w:val="0"/>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2）如果工程中标后，因承包人自身的原因，未能兑现其投标时承诺条件或工程质量较差，或其工期进度严重脱节，或承包人出现严重安全、质量事故，或在发包人规定的整改期限内达不到整改要求或明显无法按期完工的，发包人有权要求承包人退场和终止合同，并按验收合格的工程量的60%款项结算。</w:t>
      </w:r>
    </w:p>
    <w:p w14:paraId="06C96385">
      <w:pPr>
        <w:autoSpaceDE w:val="0"/>
        <w:autoSpaceDN w:val="0"/>
        <w:adjustRightInd w:val="0"/>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 xml:space="preserve">（3）承包人必须服从发包人和监理工程师的管理监督，施工中发生的质量问题必须及时整改，因承包人原因被责令停工和返工，所造成的责任与损失均由承包人负责 。 </w:t>
      </w:r>
    </w:p>
    <w:p w14:paraId="2346D7B0">
      <w:pPr>
        <w:autoSpaceDE w:val="0"/>
        <w:autoSpaceDN w:val="0"/>
        <w:adjustRightInd w:val="0"/>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（4）若承包人在施工过程中出现严重质量问题（质检站认定或检测中心认定），则根据质量问题的严重程度按每起2-5万元处罚。</w:t>
      </w:r>
    </w:p>
    <w:p w14:paraId="462D25EE">
      <w:pPr>
        <w:autoSpaceDE w:val="0"/>
        <w:autoSpaceDN w:val="0"/>
        <w:adjustRightInd w:val="0"/>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（5）承包人在工程施工期间必须抓好安全生产工作，如在施工期间发生安全责任事故，则罚没20%履约保证金，并且由此所造成的损失由承包人承担。</w:t>
      </w:r>
    </w:p>
    <w:p w14:paraId="0C4D9837">
      <w:pPr>
        <w:autoSpaceDE w:val="0"/>
        <w:autoSpaceDN w:val="0"/>
        <w:adjustRightInd w:val="0"/>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 xml:space="preserve">（6）承包人必须达到合同约定的质量标准，达不到标准的，除履约保证金的50%不予退还外，还必须负责返工、修理；经返工、修理后，仍不能消除质量缺陷或隐患，不能达到设计标准和施工要求的，发包人有权解除合同，并减少或拒绝支付工程款。造成发包人经济损失的，仍由承包人承担。 </w:t>
      </w:r>
    </w:p>
    <w:p w14:paraId="4162176A">
      <w:pPr>
        <w:autoSpaceDE w:val="0"/>
        <w:autoSpaceDN w:val="0"/>
        <w:adjustRightInd w:val="0"/>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7）承包人出现严重安全、质量事故，或在发包人规定的整改期限内达不到整改要求或明显无法按期完工的，发包人有权解除合同并要求承包人退场，承包人接到退场通知后应立即无条件退场。对已完部分的工程同意发包人按已验收合格工程量的60%结算工程价款。</w:t>
      </w:r>
    </w:p>
    <w:p w14:paraId="74055C91">
      <w:pPr>
        <w:autoSpaceDE w:val="0"/>
        <w:autoSpaceDN w:val="0"/>
        <w:adjustRightInd w:val="0"/>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8）无论任何理由，承包人未经发包人许可不得擅自停工，否则发包人有权单方面解除合同，并要求承包人退场，承包人接到退场通知后必须无条件退场，对已完工程量，按已验收合格工程量的50%结算工程价款，履约保证金不予退还。承包人不按期退场的，每拖延一天，应向发包人支付违约金人民币5000元。</w:t>
      </w:r>
    </w:p>
    <w:p w14:paraId="490595B9">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16.2.2承包人违约的责任</w:t>
      </w:r>
    </w:p>
    <w:p w14:paraId="40617098">
      <w:pPr>
        <w:spacing w:line="440" w:lineRule="exact"/>
        <w:ind w:firstLine="480" w:firstLineChars="200"/>
        <w:rPr>
          <w:rFonts w:hint="eastAsia" w:ascii="宋体" w:hAnsi="宋体" w:eastAsia="宋体" w:cs="宋体"/>
          <w:b/>
          <w:color w:val="auto"/>
          <w:sz w:val="24"/>
          <w:szCs w:val="24"/>
          <w:u w:val="single"/>
        </w:rPr>
      </w:pPr>
      <w:r>
        <w:rPr>
          <w:rFonts w:hint="eastAsia" w:ascii="宋体" w:hAnsi="宋体" w:eastAsia="宋体" w:cs="宋体"/>
          <w:color w:val="auto"/>
          <w:sz w:val="24"/>
          <w:szCs w:val="24"/>
        </w:rPr>
        <w:t>承包人违约责任的承担方式和计算方法：</w:t>
      </w:r>
      <w:r>
        <w:rPr>
          <w:rFonts w:hint="eastAsia" w:ascii="宋体" w:hAnsi="宋体" w:eastAsia="宋体" w:cs="宋体"/>
          <w:b/>
          <w:color w:val="auto"/>
          <w:sz w:val="24"/>
          <w:szCs w:val="24"/>
          <w:u w:val="single"/>
        </w:rPr>
        <w:t>由承包人承担全部费用并承担相关法律责任。</w:t>
      </w:r>
    </w:p>
    <w:p w14:paraId="2BDA83A3">
      <w:pPr>
        <w:spacing w:line="440" w:lineRule="exact"/>
        <w:ind w:firstLine="482" w:firstLineChars="200"/>
        <w:rPr>
          <w:rFonts w:hint="eastAsia" w:ascii="宋体" w:hAnsi="宋体" w:eastAsia="宋体" w:cs="宋体"/>
          <w:b/>
          <w:color w:val="auto"/>
          <w:sz w:val="24"/>
          <w:szCs w:val="24"/>
          <w:highlight w:val="none"/>
          <w:u w:val="single"/>
        </w:rPr>
      </w:pPr>
      <w:r>
        <w:rPr>
          <w:rFonts w:hint="eastAsia" w:ascii="宋体" w:hAnsi="宋体" w:eastAsia="宋体" w:cs="宋体"/>
          <w:b/>
          <w:color w:val="auto"/>
          <w:sz w:val="24"/>
          <w:szCs w:val="24"/>
          <w:u w:val="single"/>
        </w:rPr>
        <w:t>（1）承包人必须指派投标书中承诺的项目</w:t>
      </w:r>
      <w:r>
        <w:rPr>
          <w:rFonts w:hint="eastAsia" w:ascii="宋体" w:hAnsi="宋体" w:eastAsia="宋体" w:cs="宋体"/>
          <w:b/>
          <w:color w:val="auto"/>
          <w:sz w:val="24"/>
          <w:szCs w:val="24"/>
          <w:highlight w:val="none"/>
          <w:u w:val="single"/>
        </w:rPr>
        <w:t>经理到施工现场负责施工管理，不得更换。若未经发包人批准，擅自更换项目经理的，则罚款3万元。承包人必须指派投标书中承诺的技术负责人、施工员、质检员、安全员到施工现场负责施工管理，不得更换。若未经发包人批准，擅自更换的，则按更换技术负责</w:t>
      </w:r>
      <w:r>
        <w:rPr>
          <w:rFonts w:hint="eastAsia" w:ascii="宋体" w:hAnsi="宋体" w:cs="宋体"/>
          <w:b/>
          <w:color w:val="auto"/>
          <w:sz w:val="24"/>
          <w:szCs w:val="24"/>
          <w:highlight w:val="none"/>
          <w:u w:val="single"/>
          <w:lang w:eastAsia="zh-CN"/>
        </w:rPr>
        <w:t>、</w:t>
      </w:r>
      <w:r>
        <w:rPr>
          <w:rFonts w:hint="eastAsia" w:ascii="宋体" w:hAnsi="宋体" w:eastAsia="宋体" w:cs="宋体"/>
          <w:b/>
          <w:color w:val="auto"/>
          <w:sz w:val="24"/>
          <w:szCs w:val="24"/>
          <w:highlight w:val="none"/>
          <w:u w:val="single"/>
        </w:rPr>
        <w:t>施工员、质检员、安全员每人次罚</w:t>
      </w:r>
      <w:r>
        <w:rPr>
          <w:rFonts w:hint="eastAsia" w:ascii="宋体" w:hAnsi="宋体" w:cs="宋体"/>
          <w:b/>
          <w:color w:val="auto"/>
          <w:sz w:val="24"/>
          <w:szCs w:val="24"/>
          <w:highlight w:val="none"/>
          <w:u w:val="single"/>
          <w:lang w:val="en-US" w:eastAsia="zh-CN"/>
        </w:rPr>
        <w:t>5000</w:t>
      </w:r>
      <w:r>
        <w:rPr>
          <w:rFonts w:hint="eastAsia" w:ascii="宋体" w:hAnsi="宋体" w:eastAsia="宋体" w:cs="宋体"/>
          <w:b/>
          <w:color w:val="auto"/>
          <w:sz w:val="24"/>
          <w:szCs w:val="24"/>
          <w:highlight w:val="none"/>
          <w:u w:val="single"/>
        </w:rPr>
        <w:t>元。并且从工程开工（以开工令为准）起，项目经理保证每月25天及以上出勤，并且每天在施工现场工作不少于8小时，每少一天罚款</w:t>
      </w:r>
      <w:r>
        <w:rPr>
          <w:rFonts w:hint="eastAsia" w:ascii="宋体" w:hAnsi="宋体" w:cs="宋体"/>
          <w:b/>
          <w:color w:val="auto"/>
          <w:sz w:val="24"/>
          <w:szCs w:val="24"/>
          <w:highlight w:val="none"/>
          <w:u w:val="single"/>
          <w:lang w:val="en-US" w:eastAsia="zh-CN"/>
        </w:rPr>
        <w:t>1</w:t>
      </w:r>
      <w:r>
        <w:rPr>
          <w:rFonts w:hint="eastAsia" w:ascii="宋体" w:hAnsi="宋体" w:eastAsia="宋体" w:cs="宋体"/>
          <w:b/>
          <w:color w:val="auto"/>
          <w:sz w:val="24"/>
          <w:szCs w:val="24"/>
          <w:highlight w:val="none"/>
          <w:u w:val="single"/>
        </w:rPr>
        <w:t>000元，累计缺勤10天或连续缺勤5天（书面请假，发包人同意除外），发包人有权终止合同，勒令退场，已完成工程量不予结算，并由承包人承担由此发生的全部责任和损失 。</w:t>
      </w:r>
    </w:p>
    <w:p w14:paraId="0EA47059">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2）若发包人按合同条款规定的付款方式及金额向承包人支付工程款后，承包人的施工人员、材料供应商、机械与设备出租人、与本工程施工建设相关人员及单位等向发包人索要工资、材料款、机械与设备出租费等，则承包人承担由此引起的一切责任与费用。</w:t>
      </w:r>
    </w:p>
    <w:p w14:paraId="558C9486">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16.2.3 因承包人违约解除合同</w:t>
      </w:r>
    </w:p>
    <w:p w14:paraId="22C4CFDD">
      <w:pPr>
        <w:spacing w:line="440" w:lineRule="exact"/>
        <w:ind w:firstLine="480" w:firstLineChars="200"/>
        <w:rPr>
          <w:rFonts w:hint="eastAsia" w:ascii="宋体" w:hAnsi="宋体" w:eastAsia="宋体" w:cs="宋体"/>
          <w:b/>
          <w:bCs/>
          <w:color w:val="auto"/>
          <w:sz w:val="24"/>
          <w:szCs w:val="24"/>
          <w:u w:val="single"/>
        </w:rPr>
      </w:pPr>
      <w:r>
        <w:rPr>
          <w:rFonts w:hint="eastAsia" w:ascii="宋体" w:hAnsi="宋体" w:eastAsia="宋体" w:cs="宋体"/>
          <w:color w:val="auto"/>
          <w:sz w:val="24"/>
          <w:szCs w:val="24"/>
        </w:rPr>
        <w:t>关于承包人违约解除合同的特别约定：</w:t>
      </w:r>
      <w:r>
        <w:rPr>
          <w:rFonts w:hint="eastAsia" w:ascii="宋体" w:hAnsi="宋体" w:eastAsia="宋体" w:cs="宋体"/>
          <w:b/>
          <w:color w:val="auto"/>
          <w:sz w:val="24"/>
          <w:szCs w:val="24"/>
          <w:u w:val="single"/>
        </w:rPr>
        <w:t>a.因承包人原因未按期开工超过十五天；b. 由于承包人原因造成施工质量存在严重缺陷；c承包人未经发包人许可擅自停工；d. 承包人出现严重安全、质量事故，或在发包人规定的整改期限内达不到整改要求或明显无法按期完工的；e.未经发包人同意，承包人将本工程转包或违法分包的；f.合同中规定的其他情形。</w:t>
      </w:r>
    </w:p>
    <w:p w14:paraId="46816CD2">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发包人继续使用承包人在施工现场的材料、设备、临时工程、承包人文件和由承包人或以其名义编制的其他文件的费用承担方式：</w:t>
      </w:r>
      <w:r>
        <w:rPr>
          <w:rFonts w:hint="eastAsia" w:ascii="宋体" w:hAnsi="宋体" w:eastAsia="宋体" w:cs="宋体"/>
          <w:b/>
          <w:color w:val="auto"/>
          <w:sz w:val="24"/>
          <w:szCs w:val="24"/>
          <w:u w:val="single"/>
        </w:rPr>
        <w:t>另行协商</w:t>
      </w:r>
      <w:r>
        <w:rPr>
          <w:rFonts w:hint="eastAsia" w:ascii="宋体" w:hAnsi="宋体" w:eastAsia="宋体" w:cs="宋体"/>
          <w:color w:val="auto"/>
          <w:sz w:val="24"/>
          <w:szCs w:val="24"/>
        </w:rPr>
        <w:t>。</w:t>
      </w:r>
    </w:p>
    <w:p w14:paraId="114C8F6A">
      <w:pPr>
        <w:keepNext/>
        <w:keepLines/>
        <w:adjustRightInd w:val="0"/>
        <w:snapToGrid w:val="0"/>
        <w:spacing w:line="440" w:lineRule="exact"/>
        <w:ind w:firstLine="480" w:firstLineChars="200"/>
        <w:outlineLvl w:val="3"/>
        <w:rPr>
          <w:rFonts w:hint="eastAsia" w:ascii="宋体" w:hAnsi="宋体" w:eastAsia="宋体" w:cs="宋体"/>
          <w:bCs/>
          <w:color w:val="auto"/>
          <w:sz w:val="24"/>
          <w:szCs w:val="24"/>
        </w:rPr>
      </w:pPr>
      <w:bookmarkStart w:id="480" w:name="_Toc351203649"/>
      <w:r>
        <w:rPr>
          <w:rFonts w:hint="eastAsia" w:ascii="宋体" w:hAnsi="宋体" w:eastAsia="宋体" w:cs="宋体"/>
          <w:bCs/>
          <w:color w:val="auto"/>
          <w:sz w:val="24"/>
          <w:szCs w:val="24"/>
        </w:rPr>
        <w:t>17. 不可抗力</w:t>
      </w:r>
      <w:bookmarkEnd w:id="480"/>
      <w:r>
        <w:rPr>
          <w:rFonts w:hint="eastAsia" w:ascii="宋体" w:hAnsi="宋体" w:eastAsia="宋体" w:cs="宋体"/>
          <w:bCs/>
          <w:color w:val="auto"/>
          <w:sz w:val="24"/>
          <w:szCs w:val="24"/>
        </w:rPr>
        <w:t xml:space="preserve"> </w:t>
      </w:r>
    </w:p>
    <w:p w14:paraId="2338FE83">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17.1 不可抗力的确认</w:t>
      </w:r>
    </w:p>
    <w:p w14:paraId="6197956B">
      <w:pPr>
        <w:adjustRightInd w:val="0"/>
        <w:snapToGrid w:val="0"/>
        <w:spacing w:line="440" w:lineRule="exact"/>
        <w:ind w:firstLine="480" w:firstLineChars="200"/>
        <w:jc w:val="left"/>
        <w:rPr>
          <w:rFonts w:hint="eastAsia" w:ascii="宋体" w:hAnsi="宋体" w:eastAsia="宋体" w:cs="宋体"/>
          <w:b/>
          <w:color w:val="auto"/>
          <w:sz w:val="24"/>
          <w:szCs w:val="24"/>
          <w:u w:val="single"/>
        </w:rPr>
      </w:pPr>
      <w:r>
        <w:rPr>
          <w:rFonts w:hint="eastAsia" w:ascii="宋体" w:hAnsi="宋体" w:eastAsia="宋体" w:cs="宋体"/>
          <w:color w:val="auto"/>
          <w:sz w:val="24"/>
          <w:szCs w:val="24"/>
        </w:rPr>
        <w:t xml:space="preserve">除通用合同条款约定的不可抗力事件之外，视为不可抗力的其他情形： </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由市级以上有关部门正式发布和认定的自然灾害。</w:t>
      </w:r>
    </w:p>
    <w:p w14:paraId="53A098BE">
      <w:pPr>
        <w:adjustRightInd w:val="0"/>
        <w:snapToGrid w:val="0"/>
        <w:spacing w:line="44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17.4 因不可抗力解除合同</w:t>
      </w:r>
    </w:p>
    <w:p w14:paraId="4C1D8812">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合同解除后，发包人应在商定或确定发包人应支付款项后</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60</w:t>
      </w:r>
      <w:r>
        <w:rPr>
          <w:rFonts w:hint="eastAsia" w:ascii="宋体" w:hAnsi="宋体" w:eastAsia="宋体" w:cs="宋体"/>
          <w:color w:val="auto"/>
          <w:sz w:val="24"/>
          <w:szCs w:val="24"/>
        </w:rPr>
        <w:t>天内完成款项的支付。</w:t>
      </w:r>
    </w:p>
    <w:p w14:paraId="0EAA5F20">
      <w:pPr>
        <w:keepNext/>
        <w:keepLines/>
        <w:adjustRightInd w:val="0"/>
        <w:snapToGrid w:val="0"/>
        <w:spacing w:line="440" w:lineRule="exact"/>
        <w:ind w:firstLine="480" w:firstLineChars="200"/>
        <w:outlineLvl w:val="3"/>
        <w:rPr>
          <w:rFonts w:hint="eastAsia" w:ascii="宋体" w:hAnsi="宋体" w:eastAsia="宋体" w:cs="宋体"/>
          <w:bCs/>
          <w:color w:val="auto"/>
          <w:sz w:val="24"/>
          <w:szCs w:val="24"/>
        </w:rPr>
      </w:pPr>
      <w:bookmarkStart w:id="481" w:name="_Toc351203650"/>
      <w:r>
        <w:rPr>
          <w:rFonts w:hint="eastAsia" w:ascii="宋体" w:hAnsi="宋体" w:eastAsia="宋体" w:cs="宋体"/>
          <w:bCs/>
          <w:color w:val="auto"/>
          <w:sz w:val="24"/>
          <w:szCs w:val="24"/>
        </w:rPr>
        <w:t>18. 保险</w:t>
      </w:r>
      <w:bookmarkEnd w:id="481"/>
    </w:p>
    <w:p w14:paraId="46ADFA16">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18.1 工程保险</w:t>
      </w:r>
    </w:p>
    <w:p w14:paraId="6B5A2607">
      <w:pPr>
        <w:spacing w:line="440" w:lineRule="exact"/>
        <w:ind w:firstLine="480" w:firstLineChars="200"/>
        <w:jc w:val="left"/>
        <w:rPr>
          <w:rFonts w:hint="eastAsia" w:ascii="宋体" w:hAnsi="宋体" w:eastAsia="宋体" w:cs="宋体"/>
          <w:b/>
          <w:bCs/>
          <w:color w:val="auto"/>
          <w:sz w:val="24"/>
          <w:szCs w:val="24"/>
          <w:u w:val="single"/>
        </w:rPr>
      </w:pPr>
      <w:r>
        <w:rPr>
          <w:rFonts w:hint="eastAsia" w:ascii="宋体" w:hAnsi="宋体" w:eastAsia="宋体" w:cs="宋体"/>
          <w:color w:val="auto"/>
          <w:sz w:val="24"/>
          <w:szCs w:val="24"/>
        </w:rPr>
        <w:t>关于工程保险的特别约定：</w:t>
      </w:r>
    </w:p>
    <w:p w14:paraId="14FFC472">
      <w:pPr>
        <w:spacing w:line="440" w:lineRule="exact"/>
        <w:ind w:firstLine="482" w:firstLineChars="200"/>
        <w:jc w:val="left"/>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发包人投保内容：建设工程和施工场地内的自有人员生命财产险。</w:t>
      </w:r>
    </w:p>
    <w:p w14:paraId="1F63E085">
      <w:pPr>
        <w:tabs>
          <w:tab w:val="left" w:pos="835"/>
          <w:tab w:val="left" w:pos="5430"/>
        </w:tabs>
        <w:autoSpaceDE w:val="0"/>
        <w:autoSpaceDN w:val="0"/>
        <w:adjustRightInd w:val="0"/>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承包人投保内容：从事危险作业职工的意外伤害险、施工场地内自有人员的生命财产险、施工机械设备的财产险、第三人人员的生命财产险、运至施工场地内用于工程的材料和待安装设备的财产险。</w:t>
      </w:r>
    </w:p>
    <w:p w14:paraId="0E64530A">
      <w:pPr>
        <w:adjustRightInd w:val="0"/>
        <w:snapToGrid w:val="0"/>
        <w:spacing w:line="44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18.3 其他保险</w:t>
      </w:r>
    </w:p>
    <w:p w14:paraId="14D2C54D">
      <w:pPr>
        <w:spacing w:line="440" w:lineRule="exact"/>
        <w:ind w:firstLine="480" w:firstLineChars="200"/>
        <w:jc w:val="left"/>
        <w:rPr>
          <w:rFonts w:hint="eastAsia" w:ascii="宋体" w:hAnsi="宋体" w:eastAsia="宋体" w:cs="宋体"/>
          <w:b/>
          <w:color w:val="auto"/>
          <w:sz w:val="24"/>
          <w:szCs w:val="24"/>
          <w:u w:val="single"/>
        </w:rPr>
      </w:pPr>
      <w:r>
        <w:rPr>
          <w:rFonts w:hint="eastAsia" w:ascii="宋体" w:hAnsi="宋体" w:eastAsia="宋体" w:cs="宋体"/>
          <w:color w:val="auto"/>
          <w:sz w:val="24"/>
          <w:szCs w:val="24"/>
        </w:rPr>
        <w:t>关于其他保险的约定：</w:t>
      </w:r>
      <w:r>
        <w:rPr>
          <w:rFonts w:hint="eastAsia" w:ascii="宋体" w:hAnsi="宋体" w:eastAsia="宋体" w:cs="宋体"/>
          <w:b/>
          <w:color w:val="auto"/>
          <w:sz w:val="24"/>
          <w:szCs w:val="24"/>
          <w:u w:val="single"/>
        </w:rPr>
        <w:t>承包人必须按规定办理由承包人投保的一切保险（包括但不限于工程施工期间的工程一切险、工程第三方责任险、人身意外险等）。如不办理，一切责任由承包人自行负责。</w:t>
      </w:r>
    </w:p>
    <w:p w14:paraId="6A25972E">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承包人是否应为其施工设备等办理财产保险：</w:t>
      </w:r>
      <w:r>
        <w:rPr>
          <w:rFonts w:hint="eastAsia" w:ascii="宋体" w:hAnsi="宋体" w:eastAsia="宋体" w:cs="宋体"/>
          <w:b/>
          <w:color w:val="auto"/>
          <w:sz w:val="24"/>
          <w:szCs w:val="24"/>
          <w:u w:val="single"/>
        </w:rPr>
        <w:t>是。</w:t>
      </w:r>
    </w:p>
    <w:p w14:paraId="197CA265">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18.7 通知义务</w:t>
      </w:r>
    </w:p>
    <w:p w14:paraId="1FAB47AE">
      <w:pPr>
        <w:adjustRightInd w:val="0"/>
        <w:snapToGrid w:val="0"/>
        <w:spacing w:line="440" w:lineRule="exact"/>
        <w:ind w:firstLine="480" w:firstLineChars="200"/>
        <w:jc w:val="left"/>
        <w:rPr>
          <w:rFonts w:hint="eastAsia" w:ascii="宋体" w:hAnsi="宋体" w:eastAsia="宋体" w:cs="宋体"/>
          <w:color w:val="auto"/>
          <w:sz w:val="24"/>
          <w:szCs w:val="24"/>
          <w:u w:val="single"/>
        </w:rPr>
      </w:pPr>
      <w:r>
        <w:rPr>
          <w:rFonts w:hint="eastAsia" w:ascii="宋体" w:hAnsi="宋体" w:eastAsia="宋体" w:cs="宋体"/>
          <w:color w:val="auto"/>
          <w:sz w:val="24"/>
          <w:szCs w:val="24"/>
        </w:rPr>
        <w:t>关于变更保险合同时的通知义务的约定：</w:t>
      </w:r>
      <w:r>
        <w:rPr>
          <w:rFonts w:hint="eastAsia" w:ascii="宋体" w:hAnsi="宋体" w:eastAsia="宋体" w:cs="宋体"/>
          <w:b/>
          <w:color w:val="auto"/>
          <w:sz w:val="24"/>
          <w:szCs w:val="24"/>
          <w:u w:val="single"/>
        </w:rPr>
        <w:t>按通用条款执行 。</w:t>
      </w:r>
      <w:r>
        <w:rPr>
          <w:rFonts w:hint="eastAsia" w:ascii="宋体" w:hAnsi="宋体" w:eastAsia="宋体" w:cs="宋体"/>
          <w:color w:val="auto"/>
          <w:sz w:val="24"/>
          <w:szCs w:val="24"/>
          <w:u w:val="single"/>
        </w:rPr>
        <w:t xml:space="preserve"> </w:t>
      </w:r>
    </w:p>
    <w:p w14:paraId="3AA127AC">
      <w:pPr>
        <w:keepNext/>
        <w:keepLines/>
        <w:adjustRightInd w:val="0"/>
        <w:snapToGrid w:val="0"/>
        <w:spacing w:line="440" w:lineRule="exact"/>
        <w:ind w:firstLine="480" w:firstLineChars="200"/>
        <w:outlineLvl w:val="3"/>
        <w:rPr>
          <w:rFonts w:hint="eastAsia" w:ascii="宋体" w:hAnsi="宋体" w:eastAsia="宋体" w:cs="宋体"/>
          <w:bCs/>
          <w:color w:val="auto"/>
          <w:sz w:val="24"/>
          <w:szCs w:val="24"/>
        </w:rPr>
      </w:pPr>
      <w:bookmarkStart w:id="482" w:name="_Toc351203651"/>
      <w:r>
        <w:rPr>
          <w:rFonts w:hint="eastAsia" w:ascii="宋体" w:hAnsi="宋体" w:eastAsia="宋体" w:cs="宋体"/>
          <w:bCs/>
          <w:color w:val="auto"/>
          <w:sz w:val="24"/>
          <w:szCs w:val="24"/>
        </w:rPr>
        <w:t>20. 争议解决</w:t>
      </w:r>
      <w:bookmarkEnd w:id="482"/>
    </w:p>
    <w:p w14:paraId="3139DF86">
      <w:pPr>
        <w:adjustRightInd w:val="0"/>
        <w:snapToGrid w:val="0"/>
        <w:spacing w:line="44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20.3 争议评审</w:t>
      </w:r>
    </w:p>
    <w:p w14:paraId="3F86A823">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合同当事人是否同意将工程争议提交争议评审小组决定：</w:t>
      </w:r>
      <w:r>
        <w:rPr>
          <w:rFonts w:hint="eastAsia" w:ascii="宋体" w:hAnsi="宋体" w:eastAsia="宋体" w:cs="宋体"/>
          <w:b/>
          <w:color w:val="auto"/>
          <w:sz w:val="24"/>
          <w:szCs w:val="24"/>
          <w:u w:val="single"/>
        </w:rPr>
        <w:t>同意。</w:t>
      </w:r>
      <w:r>
        <w:rPr>
          <w:rFonts w:hint="eastAsia" w:ascii="宋体" w:hAnsi="宋体" w:eastAsia="宋体" w:cs="宋体"/>
          <w:color w:val="auto"/>
          <w:sz w:val="24"/>
          <w:szCs w:val="24"/>
        </w:rPr>
        <w:t xml:space="preserve">  </w:t>
      </w:r>
    </w:p>
    <w:p w14:paraId="23798119">
      <w:pPr>
        <w:adjustRightInd w:val="0"/>
        <w:snapToGrid w:val="0"/>
        <w:spacing w:line="440" w:lineRule="exact"/>
        <w:ind w:firstLine="480" w:firstLineChars="200"/>
        <w:jc w:val="left"/>
        <w:outlineLvl w:val="0"/>
        <w:rPr>
          <w:rFonts w:hint="eastAsia" w:ascii="宋体" w:hAnsi="宋体" w:eastAsia="宋体" w:cs="宋体"/>
          <w:color w:val="auto"/>
          <w:sz w:val="24"/>
          <w:szCs w:val="24"/>
        </w:rPr>
      </w:pPr>
      <w:r>
        <w:rPr>
          <w:rFonts w:hint="eastAsia" w:ascii="宋体" w:hAnsi="宋体" w:eastAsia="宋体" w:cs="宋体"/>
          <w:color w:val="auto"/>
          <w:sz w:val="24"/>
          <w:szCs w:val="24"/>
        </w:rPr>
        <w:t>20.3.1 争议评审小组的确定</w:t>
      </w:r>
    </w:p>
    <w:p w14:paraId="76CDCCA7">
      <w:pPr>
        <w:adjustRightInd w:val="0"/>
        <w:snapToGrid w:val="0"/>
        <w:spacing w:line="440" w:lineRule="exact"/>
        <w:ind w:firstLine="480" w:firstLineChars="200"/>
        <w:jc w:val="left"/>
        <w:rPr>
          <w:rFonts w:hint="eastAsia" w:ascii="宋体" w:hAnsi="宋体" w:eastAsia="宋体" w:cs="宋体"/>
          <w:color w:val="auto"/>
          <w:sz w:val="24"/>
          <w:szCs w:val="24"/>
          <w:u w:val="single"/>
        </w:rPr>
      </w:pPr>
      <w:r>
        <w:rPr>
          <w:rFonts w:hint="eastAsia" w:ascii="宋体" w:hAnsi="宋体" w:eastAsia="宋体" w:cs="宋体"/>
          <w:color w:val="auto"/>
          <w:sz w:val="24"/>
          <w:szCs w:val="24"/>
        </w:rPr>
        <w:t>争议评审小组成员的确定：</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按通用条款执行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03FAE527">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选定争议评审员的期限：</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按通用条款执行</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2D62B36D">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争议评审小组成员的报酬承担方式：</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按通用条款执行</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4952E6A3">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其他事项的约定：</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34EF99A5">
      <w:pPr>
        <w:autoSpaceDE w:val="0"/>
        <w:autoSpaceDN w:val="0"/>
        <w:adjustRightInd w:val="0"/>
        <w:snapToGrid w:val="0"/>
        <w:spacing w:line="440" w:lineRule="exact"/>
        <w:ind w:firstLine="480" w:firstLineChars="200"/>
        <w:jc w:val="left"/>
        <w:outlineLvl w:val="0"/>
        <w:rPr>
          <w:rFonts w:hint="eastAsia" w:ascii="宋体" w:hAnsi="宋体" w:eastAsia="宋体" w:cs="宋体"/>
          <w:color w:val="auto"/>
          <w:sz w:val="24"/>
          <w:szCs w:val="24"/>
        </w:rPr>
      </w:pPr>
      <w:r>
        <w:rPr>
          <w:rFonts w:hint="eastAsia" w:ascii="宋体" w:hAnsi="宋体" w:eastAsia="宋体" w:cs="宋体"/>
          <w:color w:val="auto"/>
          <w:sz w:val="24"/>
          <w:szCs w:val="24"/>
        </w:rPr>
        <w:t>20.3.2 争议评审小组的决定</w:t>
      </w:r>
    </w:p>
    <w:p w14:paraId="698E536C">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合同当事人关于本项的约定：</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按通用条款执行</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31F84CEC">
      <w:pPr>
        <w:adjustRightInd w:val="0"/>
        <w:snapToGrid w:val="0"/>
        <w:spacing w:line="440" w:lineRule="exact"/>
        <w:ind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20.4仲裁或诉讼</w:t>
      </w:r>
    </w:p>
    <w:p w14:paraId="3EB2E5F8">
      <w:pPr>
        <w:adjustRightInd w:val="0"/>
        <w:snapToGrid w:val="0"/>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因合同及合同有关事项发生的争议，按下列第</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（2）</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种方式解决：</w:t>
      </w:r>
    </w:p>
    <w:p w14:paraId="4B36D79E">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（1）向仲裁委员会申请仲裁；</w:t>
      </w:r>
    </w:p>
    <w:p w14:paraId="7B9FA18B">
      <w:pPr>
        <w:adjustRightInd w:val="0"/>
        <w:snapToGrid w:val="0"/>
        <w:spacing w:line="44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（2）向</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工程所在地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人民法院起诉。</w:t>
      </w:r>
    </w:p>
    <w:p w14:paraId="2E260336">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20.5补充条款</w:t>
      </w:r>
    </w:p>
    <w:p w14:paraId="7958D79E">
      <w:pPr>
        <w:adjustRightInd w:val="0"/>
        <w:snapToGrid w:val="0"/>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（1）本工程不得转包和违法分包，否则一经发现，取消承包人的施工资格，已完工程量不予结算。</w:t>
      </w:r>
    </w:p>
    <w:p w14:paraId="43B94C60">
      <w:pPr>
        <w:adjustRightInd w:val="0"/>
        <w:snapToGrid w:val="0"/>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2）承包人承诺：①对施工过程中遇到的征地拆迁以外的其他所有前期问题，均由承包人自行解决，费用已包含在承包人的投标总价中；②因施工需要，需临时使用红线以外土地的，由承包人自行解决，费用已包含在承包人的投标总价中。③施工中涉及的交通、供电等部门的一切手续由承包人办理，该费用一次性包死，费用已包含在承包人的投标总价中。④本工程现场杂土需运至发包人或城管部门批准地点并推平，现场老建筑物基础拆除、外运工作及产生的费用由承包人承担，以上费用一次性包定，结算时不作调整。</w:t>
      </w:r>
    </w:p>
    <w:p w14:paraId="2A96CDE5">
      <w:pPr>
        <w:adjustRightInd w:val="0"/>
        <w:snapToGrid w:val="0"/>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（3）承包人承诺做到交通组织有序，文明施工达标。</w:t>
      </w:r>
    </w:p>
    <w:p w14:paraId="5E6EF1D4">
      <w:pPr>
        <w:adjustRightInd w:val="0"/>
        <w:snapToGrid w:val="0"/>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（4）由于承包人原因而引起的监理人所增加的额外工作报酬和附加工作报酬,由发包人从承包人应得的工程款中扣下支付给监理人。</w:t>
      </w:r>
    </w:p>
    <w:p w14:paraId="4B3CFFBF">
      <w:pPr>
        <w:adjustRightInd w:val="0"/>
        <w:snapToGrid w:val="0"/>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（5）承包人在施工过程中，不论以何种形式被检查发现偷工减料、以次充好，每发现一次扣罚5000元，并无条件整改。</w:t>
      </w:r>
    </w:p>
    <w:p w14:paraId="33980B68">
      <w:pPr>
        <w:adjustRightInd w:val="0"/>
        <w:snapToGrid w:val="0"/>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6）在上述（5）和（6）条规定中，承包人每发生一次，视其严重程度，记录为灰点或不良记录，三次灰点记录作为一次不良记录。每有一次不良记录，限制其参与发包人组织的城建工程投标一年以上，直至永久限制。</w:t>
      </w:r>
    </w:p>
    <w:p w14:paraId="6204658B">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 xml:space="preserve"> (7) 有关部门或单位决定的临时停水、电，给承包人造成损失的，由承包人自行承担，且不能延长工期。 </w:t>
      </w:r>
    </w:p>
    <w:p w14:paraId="47C69776">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 xml:space="preserve"> (8) 承包人在施工中无正当理由不执行监理或发包人的正当管理工作指令的，发包人有权对其进行经济处罚2000元/次。 </w:t>
      </w:r>
    </w:p>
    <w:p w14:paraId="7172CE9F">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 xml:space="preserve"> (9)承包人必须服从发包人和监理工程师的管理监督，施工中发生的质量问题必须及时整改，因承包人原因被责令停工和返工，所造成的一切损失由承包人负责。  </w:t>
      </w:r>
    </w:p>
    <w:p w14:paraId="4CCFE771">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 xml:space="preserve">(10)承包人必须严格按照招标文件、施工图及工程量清单（编制说明）中载明的范围进行施工，如超范围施工则视为对发包人的优惠，在结算时不作调整（发包人要求变更的除外）。确因承包人超范围施工导致其他施工单位不能正常施工的，必须由承包人自行拆除、修补，并承担相应费用，给发包人和其他施工单位造成损失的，由承包人承担。 </w:t>
      </w:r>
    </w:p>
    <w:p w14:paraId="68C420C1">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 xml:space="preserve">(11)承包人必须对所有专业分包队伍履行管理职责，负责工程的安全、质量、进度方面的监督、管理及协调工作，全权负责工程资料整理和申报工作并承担相应费用。 </w:t>
      </w:r>
    </w:p>
    <w:p w14:paraId="0F788356">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 xml:space="preserve">(12)相同或类似清单项目如出现两个或两个以上报价的，在结算时按最低的综合单价计取；承包人未填单价或合价的工程项目，在实施后，发包人将不予以支付，并视作该项费用已包括在其它有价款的单价或合价内。 </w:t>
      </w:r>
    </w:p>
    <w:p w14:paraId="581D7480">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 xml:space="preserve">(13)若在工程结算审计过程中发现承包人投标文件中的暂列金额或暂定价或暂估费用与招标文件中的暂列金额或暂定价或暂估费用不一致的，则均按招标文件中的暂列金额或暂定价或暂估费用扣减。数量及价格不一致的，按照有利于发包人的方式进行确定。 </w:t>
      </w:r>
    </w:p>
    <w:p w14:paraId="4E88551A">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(14)承包人应积极配合审计工作，及时对审计结果进行核对，无误后签字盖章确认。</w:t>
      </w:r>
    </w:p>
    <w:p w14:paraId="5470AF43">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 xml:space="preserve">(15)结算资料承包人应要求整理并提供的工程结算资料包括如下主要内容： </w:t>
      </w:r>
    </w:p>
    <w:p w14:paraId="4EB74E3C">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 xml:space="preserve">1）中标通知书、施工合同、开竣工报告、招投标文件； </w:t>
      </w:r>
    </w:p>
    <w:p w14:paraId="7F1ACBA5">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 xml:space="preserve">2）工程类别核定单； </w:t>
      </w:r>
    </w:p>
    <w:p w14:paraId="1157222E">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 xml:space="preserve">3）结算书（含工程量计算书）； </w:t>
      </w:r>
    </w:p>
    <w:p w14:paraId="3C22669C">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 xml:space="preserve">4）竣工图纸； </w:t>
      </w:r>
    </w:p>
    <w:p w14:paraId="1EC806A0">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5）图纸会审（交底）的会议纪要；</w:t>
      </w:r>
    </w:p>
    <w:p w14:paraId="2BA4C0B7">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6）设计变更资料；</w:t>
      </w:r>
    </w:p>
    <w:p w14:paraId="2648061C">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 xml:space="preserve">7）施工现场签证资料； </w:t>
      </w:r>
    </w:p>
    <w:p w14:paraId="2B957172">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8）承包人需补充的其他资料。</w:t>
      </w:r>
    </w:p>
    <w:p w14:paraId="7C27C0EE">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 xml:space="preserve">(16)结算资料具有完整性和合法性。资料不完整的，承包人必须限期整改。否则，发包人不予办理或对该部分资料不予认可。因资料不齐而影响结算审核工作的，其一切损失和后果均由承包人负责。工程结算资料的具体要求： </w:t>
      </w:r>
    </w:p>
    <w:p w14:paraId="344F2AAA">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 xml:space="preserve">1）工程结算资料必须实事求是，真实准确，不得弄虚作假。 </w:t>
      </w:r>
    </w:p>
    <w:p w14:paraId="6AA73417">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2）工程结算书必须装订成册，封面必须盖单位公章，编制人、审核人均应签字并盖注册造价工程师或造价员执业专用章。</w:t>
      </w:r>
    </w:p>
    <w:p w14:paraId="4599B905">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3）工程变更及签证必须及时按规定办理有关审批手续，结算时提供原件才予以确认。</w:t>
      </w:r>
    </w:p>
    <w:p w14:paraId="1A9AC766">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4）工程变更必须编号、归类。</w:t>
      </w:r>
    </w:p>
    <w:p w14:paraId="5D8B5731">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 xml:space="preserve">5）发包人收到承包人提供完整的结算资料后及时送审计单位审核。 </w:t>
      </w:r>
    </w:p>
    <w:p w14:paraId="184F0F7E">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6）竣工验收后提供电子版的竣工测绘图，费用由承包人在报价时一并考虑。</w:t>
      </w:r>
    </w:p>
    <w:p w14:paraId="4A4CA348">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(17)考虑到本工程的特殊性，为此发包人对工程施工现场制定了安全文明生产、施工质量管理、施工进度管理等要求以及承包人达不到上述要求的处罚标准，具体内容如下：</w:t>
      </w:r>
    </w:p>
    <w:p w14:paraId="65CDA3E1">
      <w:pPr>
        <w:snapToGrid w:val="0"/>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1）承包人作业前，提前7天以上申报安全施工组织设计或安全技术措施、安全防范措施、应急救援预案、临时用电方案、专项安全施工方案等，并经监理及发包人同意后方可实施，不得无方案作业，否则发现一次罚款10000元。</w:t>
      </w:r>
    </w:p>
    <w:p w14:paraId="2535C5B8">
      <w:pPr>
        <w:snapToGrid w:val="0"/>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 xml:space="preserve">2）工程例会每周一次，无故迟到一次罚款200元/人，无故缺席一次罚款500元/人。承包人须对全体员工进行安全生产教育培训和安全技术交底，经检查无双方签字确认的安全技术交底，每人每次向发包人支付违约金500元。监理通知单和监理例会提出的安全隐患，承包人未进行整改或整改不力，每次每项承包人向发包人支付违约金2000元；对出现重大安全隐患，承包人未按监理暂停令进行整改或整改不力的，承包人向发包人支付违约金20000元。 </w:t>
      </w:r>
    </w:p>
    <w:p w14:paraId="0A3CBD89">
      <w:pPr>
        <w:snapToGrid w:val="0"/>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3）承包人安全帽上应有醒目的企业名称。帽带不扣罚款50元/人次、不带安全帽罚款200元/人次、穿拖鞋罚款200元/人次。</w:t>
      </w:r>
    </w:p>
    <w:p w14:paraId="41E877E8">
      <w:pPr>
        <w:snapToGrid w:val="0"/>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4）建筑材料、构件按总平面图布局堆放整齐；材料堆放悬挂名称、品种、规格等示牌；工完地清，建筑垃圾整齐堆放及时清运；易燃易爆分类存放；无在本施工场地外堆放材料行为；有消防措施、制度及灭火器材有效齐全，否则罚款1000元/项次。</w:t>
      </w:r>
    </w:p>
    <w:p w14:paraId="52315045">
      <w:pPr>
        <w:snapToGrid w:val="0"/>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5）办公室、宿舍做到天天打扫，保持室内窗明几净、清洁卫生，物品放置整齐，门窗应设置窗帘及纱窗；生活垃圾定点整洁存放，及时清运。否则对不符合的行为罚款200元/项次。</w:t>
      </w:r>
    </w:p>
    <w:p w14:paraId="42D51C4A">
      <w:pPr>
        <w:snapToGrid w:val="0"/>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6）配电箱应符合规范要求，电箱出线回路标示明确清晰、不混乱；严禁临时用电乱拉乱接；宿舍内电源按要求一次性布置到位，严禁不规范使用；严禁使用多处破损的电缆；严禁使用多个接头或接头不符合规范的电缆；电缆上楼层应通过外墙或洞口布置，不得与脚手架直接连接。否则罚款200元/项次。</w:t>
      </w:r>
    </w:p>
    <w:p w14:paraId="0CCC4DBA">
      <w:pPr>
        <w:snapToGrid w:val="0"/>
        <w:spacing w:line="440" w:lineRule="exact"/>
        <w:ind w:firstLine="482" w:firstLineChars="200"/>
        <w:rPr>
          <w:rFonts w:hint="eastAsia" w:ascii="宋体" w:hAnsi="宋体" w:eastAsia="宋体" w:cs="宋体"/>
          <w:b/>
          <w:color w:val="auto"/>
          <w:sz w:val="24"/>
          <w:szCs w:val="24"/>
          <w:u w:val="single"/>
        </w:rPr>
      </w:pPr>
      <w:r>
        <w:rPr>
          <w:rFonts w:hint="eastAsia" w:ascii="宋体" w:hAnsi="宋体" w:cs="宋体"/>
          <w:b/>
          <w:color w:val="auto"/>
          <w:sz w:val="24"/>
          <w:szCs w:val="24"/>
          <w:u w:val="single"/>
          <w:lang w:val="en-US" w:eastAsia="zh-CN"/>
        </w:rPr>
        <w:t>7</w:t>
      </w:r>
      <w:r>
        <w:rPr>
          <w:rFonts w:hint="eastAsia" w:ascii="宋体" w:hAnsi="宋体" w:eastAsia="宋体" w:cs="宋体"/>
          <w:b/>
          <w:color w:val="auto"/>
          <w:sz w:val="24"/>
          <w:szCs w:val="24"/>
          <w:u w:val="single"/>
        </w:rPr>
        <w:t>）宿舍、办公室（包括发包人及监理用房）必须全部设置空调；宿舍、食堂等临时用房，如使用砖砌体必须水泥砂浆粉刷后刷涂料，食堂、厕所、淋浴洗漱间应满贴瓷砖；食堂及相关操作人员必须取得卫生监督部门颁发的“卫生许可证”、“健康证”。住宿区与施工区应分开设置。临时设施应美观、耐用，损坏时及时修补。否则罚款200元/项次。</w:t>
      </w:r>
    </w:p>
    <w:p w14:paraId="2F439481">
      <w:pPr>
        <w:snapToGrid w:val="0"/>
        <w:spacing w:line="440" w:lineRule="exact"/>
        <w:ind w:firstLine="482" w:firstLineChars="200"/>
        <w:rPr>
          <w:rFonts w:hint="eastAsia" w:ascii="宋体" w:hAnsi="宋体" w:eastAsia="宋体" w:cs="宋体"/>
          <w:b/>
          <w:color w:val="auto"/>
          <w:sz w:val="24"/>
          <w:szCs w:val="24"/>
          <w:u w:val="single"/>
        </w:rPr>
      </w:pPr>
      <w:r>
        <w:rPr>
          <w:rFonts w:hint="eastAsia" w:ascii="宋体" w:hAnsi="宋体" w:cs="宋体"/>
          <w:b/>
          <w:color w:val="auto"/>
          <w:sz w:val="24"/>
          <w:szCs w:val="24"/>
          <w:u w:val="single"/>
          <w:lang w:val="en-US" w:eastAsia="zh-CN"/>
        </w:rPr>
        <w:t>8</w:t>
      </w:r>
      <w:r>
        <w:rPr>
          <w:rFonts w:hint="eastAsia" w:ascii="宋体" w:hAnsi="宋体" w:eastAsia="宋体" w:cs="宋体"/>
          <w:b/>
          <w:color w:val="auto"/>
          <w:sz w:val="24"/>
          <w:szCs w:val="24"/>
          <w:u w:val="single"/>
        </w:rPr>
        <w:t>）施工现场打架斗殴的罚款1000元/次。</w:t>
      </w:r>
    </w:p>
    <w:p w14:paraId="61A8F825">
      <w:pPr>
        <w:snapToGrid w:val="0"/>
        <w:spacing w:line="440" w:lineRule="exact"/>
        <w:ind w:firstLine="482" w:firstLineChars="200"/>
        <w:rPr>
          <w:rFonts w:hint="eastAsia" w:ascii="宋体" w:hAnsi="宋体" w:eastAsia="宋体" w:cs="宋体"/>
          <w:b/>
          <w:color w:val="auto"/>
          <w:sz w:val="24"/>
          <w:szCs w:val="24"/>
          <w:u w:val="single"/>
        </w:rPr>
      </w:pPr>
      <w:r>
        <w:rPr>
          <w:rFonts w:hint="eastAsia" w:ascii="宋体" w:hAnsi="宋体" w:cs="宋体"/>
          <w:b/>
          <w:color w:val="auto"/>
          <w:sz w:val="24"/>
          <w:szCs w:val="24"/>
          <w:u w:val="single"/>
          <w:lang w:val="en-US" w:eastAsia="zh-CN"/>
        </w:rPr>
        <w:t>9</w:t>
      </w:r>
      <w:r>
        <w:rPr>
          <w:rFonts w:hint="eastAsia" w:ascii="宋体" w:hAnsi="宋体" w:eastAsia="宋体" w:cs="宋体"/>
          <w:b/>
          <w:color w:val="auto"/>
          <w:sz w:val="24"/>
          <w:szCs w:val="24"/>
          <w:u w:val="single"/>
        </w:rPr>
        <w:t>)施工现场不得定盒饭，特殊情况需加班定盒饭必须报监理、发包人同意，但饭盒必须丢至垃圾箱。否则罚款1000元/次。</w:t>
      </w:r>
    </w:p>
    <w:p w14:paraId="72E8ED9C">
      <w:pPr>
        <w:spacing w:line="440" w:lineRule="exact"/>
        <w:ind w:firstLine="482" w:firstLineChars="200"/>
        <w:jc w:val="left"/>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1</w:t>
      </w:r>
      <w:r>
        <w:rPr>
          <w:rFonts w:hint="eastAsia" w:ascii="宋体" w:hAnsi="宋体" w:cs="宋体"/>
          <w:b/>
          <w:color w:val="auto"/>
          <w:sz w:val="24"/>
          <w:szCs w:val="24"/>
          <w:u w:val="single"/>
          <w:lang w:val="en-US" w:eastAsia="zh-CN"/>
        </w:rPr>
        <w:t>0</w:t>
      </w:r>
      <w:r>
        <w:rPr>
          <w:rFonts w:hint="eastAsia" w:ascii="宋体" w:hAnsi="宋体" w:eastAsia="宋体" w:cs="宋体"/>
          <w:b/>
          <w:color w:val="auto"/>
          <w:sz w:val="24"/>
          <w:szCs w:val="24"/>
          <w:u w:val="single"/>
        </w:rPr>
        <w:t>）对于发包人或监理单位向承包人发出的书面通知，项目经理应无条件的签收并执行，否则每次向发包人支付违约金5000元。</w:t>
      </w:r>
    </w:p>
    <w:p w14:paraId="5B4CCDBE">
      <w:pPr>
        <w:spacing w:line="440" w:lineRule="exact"/>
        <w:ind w:firstLine="482" w:firstLineChars="200"/>
        <w:jc w:val="left"/>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发包人委托监理对承包人的施工进行全过程监理。承包人在工程实施过程中必须服从监理人员的监督。如因承包人违反施工工艺顺序、使用不合格材料，工程实体质量及安全文明生产不符合相关规定，所投入的施工机械、人员不满足工程进度的需要，引起发包人和监理单位发出整改通知书的，视同违约，处罚如下：</w:t>
      </w:r>
    </w:p>
    <w:p w14:paraId="077C135A">
      <w:pPr>
        <w:spacing w:line="440" w:lineRule="exact"/>
        <w:ind w:firstLine="482" w:firstLineChars="200"/>
        <w:jc w:val="left"/>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fldChar w:fldCharType="begin"/>
      </w:r>
      <w:r>
        <w:rPr>
          <w:rFonts w:hint="eastAsia" w:ascii="宋体" w:hAnsi="宋体" w:eastAsia="宋体" w:cs="宋体"/>
          <w:b/>
          <w:color w:val="auto"/>
          <w:sz w:val="24"/>
          <w:szCs w:val="24"/>
          <w:u w:val="single"/>
        </w:rPr>
        <w:instrText xml:space="preserve"> = 1 \* GB3 </w:instrText>
      </w:r>
      <w:r>
        <w:rPr>
          <w:rFonts w:hint="eastAsia" w:ascii="宋体" w:hAnsi="宋体" w:eastAsia="宋体" w:cs="宋体"/>
          <w:b/>
          <w:color w:val="auto"/>
          <w:sz w:val="24"/>
          <w:szCs w:val="24"/>
          <w:u w:val="single"/>
        </w:rPr>
        <w:fldChar w:fldCharType="separate"/>
      </w:r>
      <w:r>
        <w:rPr>
          <w:rFonts w:hint="eastAsia" w:ascii="宋体" w:hAnsi="宋体" w:eastAsia="宋体" w:cs="宋体"/>
          <w:b/>
          <w:color w:val="auto"/>
          <w:sz w:val="24"/>
          <w:szCs w:val="24"/>
          <w:u w:val="single"/>
        </w:rPr>
        <w:t>①</w:t>
      </w:r>
      <w:r>
        <w:rPr>
          <w:rFonts w:hint="eastAsia" w:ascii="宋体" w:hAnsi="宋体" w:eastAsia="宋体" w:cs="宋体"/>
          <w:b/>
          <w:color w:val="auto"/>
          <w:sz w:val="24"/>
          <w:szCs w:val="24"/>
          <w:u w:val="single"/>
        </w:rPr>
        <w:fldChar w:fldCharType="end"/>
      </w:r>
      <w:r>
        <w:rPr>
          <w:rFonts w:hint="eastAsia" w:ascii="宋体" w:hAnsi="宋体" w:eastAsia="宋体" w:cs="宋体"/>
          <w:b/>
          <w:color w:val="auto"/>
          <w:sz w:val="24"/>
          <w:szCs w:val="24"/>
          <w:u w:val="single"/>
        </w:rPr>
        <w:t>如承包人接到第一次整改通知书，未按通知书规定的时间、内容、质量标准整改到位，至发包人或监理单位发出第二次整改通知书的，每次向发包人支付违约金5000元。</w:t>
      </w:r>
    </w:p>
    <w:p w14:paraId="25354673">
      <w:pPr>
        <w:spacing w:line="440" w:lineRule="exact"/>
        <w:ind w:firstLine="482" w:firstLineChars="200"/>
        <w:jc w:val="left"/>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fldChar w:fldCharType="begin"/>
      </w:r>
      <w:r>
        <w:rPr>
          <w:rFonts w:hint="eastAsia" w:ascii="宋体" w:hAnsi="宋体" w:eastAsia="宋体" w:cs="宋体"/>
          <w:b/>
          <w:color w:val="auto"/>
          <w:sz w:val="24"/>
          <w:szCs w:val="24"/>
          <w:u w:val="single"/>
        </w:rPr>
        <w:instrText xml:space="preserve"> = 2 \* GB3 </w:instrText>
      </w:r>
      <w:r>
        <w:rPr>
          <w:rFonts w:hint="eastAsia" w:ascii="宋体" w:hAnsi="宋体" w:eastAsia="宋体" w:cs="宋体"/>
          <w:b/>
          <w:color w:val="auto"/>
          <w:sz w:val="24"/>
          <w:szCs w:val="24"/>
          <w:u w:val="single"/>
        </w:rPr>
        <w:fldChar w:fldCharType="separate"/>
      </w:r>
      <w:r>
        <w:rPr>
          <w:rFonts w:hint="eastAsia" w:ascii="宋体" w:hAnsi="宋体" w:eastAsia="宋体" w:cs="宋体"/>
          <w:b/>
          <w:color w:val="auto"/>
          <w:sz w:val="24"/>
          <w:szCs w:val="24"/>
          <w:u w:val="single"/>
        </w:rPr>
        <w:t>②</w:t>
      </w:r>
      <w:r>
        <w:rPr>
          <w:rFonts w:hint="eastAsia" w:ascii="宋体" w:hAnsi="宋体" w:eastAsia="宋体" w:cs="宋体"/>
          <w:b/>
          <w:color w:val="auto"/>
          <w:sz w:val="24"/>
          <w:szCs w:val="24"/>
          <w:u w:val="single"/>
        </w:rPr>
        <w:fldChar w:fldCharType="end"/>
      </w:r>
      <w:r>
        <w:rPr>
          <w:rFonts w:hint="eastAsia" w:ascii="宋体" w:hAnsi="宋体" w:eastAsia="宋体" w:cs="宋体"/>
          <w:b/>
          <w:color w:val="auto"/>
          <w:sz w:val="24"/>
          <w:szCs w:val="24"/>
          <w:u w:val="single"/>
        </w:rPr>
        <w:t>如承包人接到第二次整改通知书，仍未按通知书规定的时间、内容、标准整改到位，至使发包人或监理单位发出局部或全部停工令的，每次局部停工令向发包人支付违约金人民币10000元，每次全部停工令向发包人支付违约金人民币20000元。</w:t>
      </w:r>
    </w:p>
    <w:p w14:paraId="19592DA1">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w:t>
      </w:r>
      <w:r>
        <w:rPr>
          <w:rFonts w:hint="eastAsia" w:ascii="宋体" w:hAnsi="宋体" w:cs="宋体"/>
          <w:b/>
          <w:color w:val="auto"/>
          <w:sz w:val="24"/>
          <w:szCs w:val="24"/>
          <w:u w:val="single"/>
          <w:lang w:val="en-US" w:eastAsia="zh-CN"/>
        </w:rPr>
        <w:t>18</w:t>
      </w:r>
      <w:r>
        <w:rPr>
          <w:rFonts w:hint="eastAsia" w:ascii="宋体" w:hAnsi="宋体" w:eastAsia="宋体" w:cs="宋体"/>
          <w:b/>
          <w:color w:val="auto"/>
          <w:sz w:val="24"/>
          <w:szCs w:val="24"/>
          <w:u w:val="single"/>
        </w:rPr>
        <w:t xml:space="preserve">)承包人出现一般安全责任事故、质量事故的，或在发包人规定的整改期限内达不到整改要求或明显无法按期完工的，发包人有权要求承包人退场，并按验收合格的工程量的60%款项结算。 </w:t>
      </w:r>
    </w:p>
    <w:p w14:paraId="2294BA32">
      <w:pPr>
        <w:spacing w:line="440" w:lineRule="exact"/>
        <w:ind w:firstLine="482" w:firstLineChars="200"/>
        <w:rPr>
          <w:rFonts w:hint="eastAsia" w:ascii="宋体" w:hAnsi="宋体" w:eastAsia="宋体" w:cs="宋体"/>
          <w:b/>
          <w:color w:val="auto"/>
          <w:sz w:val="24"/>
          <w:szCs w:val="24"/>
          <w:highlight w:val="none"/>
          <w:u w:val="single"/>
        </w:rPr>
      </w:pPr>
      <w:r>
        <w:rPr>
          <w:rFonts w:hint="eastAsia" w:ascii="宋体" w:hAnsi="宋体" w:eastAsia="宋体" w:cs="宋体"/>
          <w:b/>
          <w:color w:val="auto"/>
          <w:sz w:val="24"/>
          <w:szCs w:val="24"/>
          <w:highlight w:val="none"/>
          <w:u w:val="single"/>
        </w:rPr>
        <w:t>(</w:t>
      </w:r>
      <w:r>
        <w:rPr>
          <w:rFonts w:hint="eastAsia" w:ascii="宋体" w:hAnsi="宋体" w:cs="宋体"/>
          <w:b/>
          <w:color w:val="auto"/>
          <w:sz w:val="24"/>
          <w:szCs w:val="24"/>
          <w:highlight w:val="none"/>
          <w:u w:val="single"/>
          <w:lang w:val="en-US" w:eastAsia="zh-CN"/>
        </w:rPr>
        <w:t>19</w:t>
      </w:r>
      <w:r>
        <w:rPr>
          <w:rFonts w:hint="eastAsia" w:ascii="宋体" w:hAnsi="宋体" w:eastAsia="宋体" w:cs="宋体"/>
          <w:b/>
          <w:color w:val="auto"/>
          <w:sz w:val="24"/>
          <w:szCs w:val="24"/>
          <w:highlight w:val="none"/>
          <w:u w:val="single"/>
        </w:rPr>
        <w:t>) 在施工过程中若发生安全责任事故，承包人履约保证金的20%不予退还。如果在承包人及其分包人的施工场所发生安全生产责任事故或其他意外伤害事故，在发生事故或意外事件后72小时内承包人</w:t>
      </w:r>
      <w:r>
        <w:rPr>
          <w:rFonts w:hint="eastAsia" w:ascii="宋体" w:hAnsi="宋体" w:cs="宋体"/>
          <w:b/>
          <w:color w:val="auto"/>
          <w:sz w:val="24"/>
          <w:szCs w:val="24"/>
          <w:highlight w:val="none"/>
          <w:u w:val="single"/>
          <w:lang w:val="en-US" w:eastAsia="zh-CN"/>
        </w:rPr>
        <w:t>全权处理。不得影响工地正常秩序和发包人的正常工作。否则由此产生的经济损失由承包人承担，发包人有权在工程款中予以扣除。</w:t>
      </w:r>
    </w:p>
    <w:p w14:paraId="6430A5C2">
      <w:pPr>
        <w:spacing w:line="440" w:lineRule="exact"/>
        <w:ind w:firstLine="482" w:firstLineChars="200"/>
        <w:rPr>
          <w:rFonts w:hint="eastAsia" w:ascii="宋体" w:hAnsi="宋体" w:eastAsia="宋体" w:cs="宋体"/>
          <w:b/>
          <w:bCs/>
          <w:color w:val="auto"/>
          <w:sz w:val="24"/>
          <w:szCs w:val="24"/>
          <w:u w:val="single"/>
        </w:rPr>
      </w:pPr>
      <w:r>
        <w:rPr>
          <w:rFonts w:hint="eastAsia" w:ascii="宋体" w:hAnsi="宋体" w:eastAsia="宋体" w:cs="宋体"/>
          <w:b/>
          <w:bCs/>
          <w:color w:val="auto"/>
          <w:sz w:val="24"/>
          <w:szCs w:val="24"/>
          <w:u w:val="single"/>
        </w:rPr>
        <w:t>（2</w:t>
      </w:r>
      <w:r>
        <w:rPr>
          <w:rFonts w:hint="eastAsia" w:ascii="宋体" w:hAnsi="宋体" w:cs="宋体"/>
          <w:b/>
          <w:bCs/>
          <w:color w:val="auto"/>
          <w:sz w:val="24"/>
          <w:szCs w:val="24"/>
          <w:u w:val="single"/>
          <w:lang w:val="en-US" w:eastAsia="zh-CN"/>
        </w:rPr>
        <w:t>0</w:t>
      </w:r>
      <w:r>
        <w:rPr>
          <w:rFonts w:hint="eastAsia" w:ascii="宋体" w:hAnsi="宋体" w:eastAsia="宋体" w:cs="宋体"/>
          <w:b/>
          <w:bCs/>
          <w:color w:val="auto"/>
          <w:sz w:val="24"/>
          <w:szCs w:val="24"/>
          <w:u w:val="single"/>
        </w:rPr>
        <w:t>）</w:t>
      </w:r>
      <w:bookmarkStart w:id="483" w:name="_Toc267251440"/>
      <w:bookmarkEnd w:id="483"/>
      <w:bookmarkStart w:id="484" w:name="_Toc296891022"/>
      <w:bookmarkEnd w:id="484"/>
      <w:bookmarkStart w:id="485" w:name="_Toc303539147"/>
      <w:bookmarkEnd w:id="485"/>
      <w:bookmarkStart w:id="486" w:name="_Toc292559399"/>
      <w:bookmarkEnd w:id="486"/>
      <w:bookmarkStart w:id="487" w:name="_Toc267251435"/>
      <w:bookmarkEnd w:id="487"/>
      <w:bookmarkStart w:id="488" w:name="_Toc267251441"/>
      <w:bookmarkEnd w:id="488"/>
      <w:bookmarkStart w:id="489" w:name="_Toc267251442"/>
      <w:bookmarkEnd w:id="489"/>
      <w:bookmarkStart w:id="490" w:name="_Toc267251437"/>
      <w:bookmarkEnd w:id="490"/>
      <w:bookmarkStart w:id="491" w:name="_Toc297216200"/>
      <w:bookmarkEnd w:id="491"/>
      <w:bookmarkStart w:id="492" w:name="_Toc312677500"/>
      <w:bookmarkEnd w:id="492"/>
      <w:bookmarkStart w:id="493" w:name="_Toc296346695"/>
      <w:bookmarkEnd w:id="493"/>
      <w:bookmarkStart w:id="494" w:name="_Toc300934990"/>
      <w:bookmarkEnd w:id="494"/>
      <w:bookmarkStart w:id="495" w:name="_Toc296503194"/>
      <w:bookmarkEnd w:id="495"/>
      <w:bookmarkStart w:id="496" w:name="_Toc304295567"/>
      <w:bookmarkEnd w:id="496"/>
      <w:bookmarkStart w:id="497" w:name="_Toc312678026"/>
      <w:bookmarkEnd w:id="497"/>
      <w:bookmarkStart w:id="498" w:name="_Toc296347193"/>
      <w:bookmarkEnd w:id="498"/>
      <w:bookmarkStart w:id="499" w:name="_Toc297048380"/>
      <w:bookmarkEnd w:id="499"/>
      <w:bookmarkStart w:id="500" w:name="_Toc296891234"/>
      <w:bookmarkEnd w:id="500"/>
      <w:bookmarkStart w:id="501" w:name="_Toc297120494"/>
      <w:bookmarkEnd w:id="501"/>
      <w:bookmarkStart w:id="502" w:name="_Toc297123541"/>
      <w:bookmarkEnd w:id="502"/>
      <w:bookmarkStart w:id="503" w:name="_Toc267251433"/>
      <w:bookmarkEnd w:id="503"/>
      <w:bookmarkStart w:id="504" w:name="_Toc296944533"/>
      <w:bookmarkEnd w:id="504"/>
      <w:bookmarkStart w:id="505" w:name="_Toc292559904"/>
      <w:bookmarkEnd w:id="505"/>
      <w:bookmarkStart w:id="506" w:name="_Toc267251439"/>
      <w:bookmarkEnd w:id="506"/>
      <w:r>
        <w:rPr>
          <w:rFonts w:hint="eastAsia" w:ascii="宋体" w:hAnsi="宋体" w:eastAsia="宋体" w:cs="宋体"/>
          <w:b/>
          <w:color w:val="auto"/>
          <w:sz w:val="24"/>
          <w:szCs w:val="24"/>
          <w:u w:val="single"/>
        </w:rPr>
        <w:t>承包人施工过程中如涉及分包工程项目（含劳务分包），总包单位须在与分包单位合同中明确农民工工资发放相关条款，分包单位须委托总包单位统一发放农民工工资。</w:t>
      </w:r>
    </w:p>
    <w:p w14:paraId="2A3930D5">
      <w:pPr>
        <w:spacing w:line="440" w:lineRule="exact"/>
        <w:ind w:firstLine="482" w:firstLineChars="200"/>
        <w:rPr>
          <w:rFonts w:hint="eastAsia" w:ascii="宋体" w:hAnsi="宋体" w:eastAsia="宋体" w:cs="宋体"/>
          <w:color w:val="auto"/>
          <w:sz w:val="24"/>
          <w:szCs w:val="24"/>
        </w:rPr>
      </w:pPr>
      <w:r>
        <w:rPr>
          <w:rFonts w:hint="eastAsia" w:ascii="宋体" w:hAnsi="宋体" w:eastAsia="宋体" w:cs="宋体"/>
          <w:b/>
          <w:color w:val="auto"/>
          <w:sz w:val="24"/>
          <w:szCs w:val="24"/>
          <w:u w:val="single"/>
        </w:rPr>
        <w:t>（2</w:t>
      </w:r>
      <w:r>
        <w:rPr>
          <w:rFonts w:hint="eastAsia" w:ascii="宋体" w:hAnsi="宋体" w:cs="宋体"/>
          <w:b/>
          <w:color w:val="auto"/>
          <w:sz w:val="24"/>
          <w:szCs w:val="24"/>
          <w:u w:val="single"/>
          <w:lang w:val="en-US" w:eastAsia="zh-CN"/>
        </w:rPr>
        <w:t>1</w:t>
      </w:r>
      <w:r>
        <w:rPr>
          <w:rFonts w:hint="eastAsia" w:ascii="宋体" w:hAnsi="宋体" w:eastAsia="宋体" w:cs="宋体"/>
          <w:b/>
          <w:color w:val="auto"/>
          <w:sz w:val="24"/>
          <w:szCs w:val="24"/>
          <w:u w:val="single"/>
        </w:rPr>
        <w:t>）如因承包人违约（包括违法转包、分包、拖欠农民工工资等）导致发包人通过法律程序追究承包人责任，或者其他第三人（包括实际施工人、材料设备供应商等方）追究发包人的责任，发包人为此而参与诉讼或仲裁，则发包人为了处理纠纷所支付的律师费（在当地司法行政机关和价格主管部门规定的指导价参考额度内）、诉讼费、案件执行费（包括因发包人未履行时被强制执行的案件执行费）均由承包人承担，发包人可以在承包人未结算或者未付的工程款中直接抵扣，承包人不得持异议。</w:t>
      </w:r>
    </w:p>
    <w:p w14:paraId="680907CA">
      <w:pPr>
        <w:spacing w:line="440" w:lineRule="exact"/>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（2</w:t>
      </w:r>
      <w:r>
        <w:rPr>
          <w:rFonts w:hint="eastAsia" w:ascii="宋体" w:hAnsi="宋体" w:cs="宋体"/>
          <w:b/>
          <w:color w:val="auto"/>
          <w:sz w:val="24"/>
          <w:szCs w:val="24"/>
          <w:u w:val="single"/>
          <w:lang w:val="en-US" w:eastAsia="zh-CN"/>
        </w:rPr>
        <w:t>2</w:t>
      </w:r>
      <w:r>
        <w:rPr>
          <w:rFonts w:hint="eastAsia" w:ascii="宋体" w:hAnsi="宋体" w:eastAsia="宋体" w:cs="宋体"/>
          <w:b/>
          <w:color w:val="auto"/>
          <w:sz w:val="24"/>
          <w:szCs w:val="24"/>
          <w:u w:val="single"/>
        </w:rPr>
        <w:t>）承包人须与参与建设施工的所有劳务人员签订劳务用工合同，合同为实名制，需本人签字，合同中须约定按月足额发放生活费，发放金额不得低于南通市最低工资支付标准，并每半年结清当期工资。</w:t>
      </w:r>
    </w:p>
    <w:p w14:paraId="08985819">
      <w:pPr>
        <w:spacing w:line="440" w:lineRule="exact"/>
        <w:ind w:firstLine="354" w:firstLineChars="147"/>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（2</w:t>
      </w:r>
      <w:r>
        <w:rPr>
          <w:rFonts w:hint="eastAsia" w:ascii="宋体" w:hAnsi="宋体" w:cs="宋体"/>
          <w:b/>
          <w:color w:val="auto"/>
          <w:sz w:val="24"/>
          <w:szCs w:val="24"/>
          <w:u w:val="single"/>
          <w:lang w:val="en-US" w:eastAsia="zh-CN"/>
        </w:rPr>
        <w:t>4</w:t>
      </w:r>
      <w:r>
        <w:rPr>
          <w:rFonts w:hint="eastAsia" w:ascii="宋体" w:hAnsi="宋体" w:eastAsia="宋体" w:cs="宋体"/>
          <w:b/>
          <w:color w:val="auto"/>
          <w:sz w:val="24"/>
          <w:szCs w:val="24"/>
          <w:u w:val="single"/>
        </w:rPr>
        <w:t>）承包人的劳务用工合同签订率必须100%，并对施工人员全员进行考勤，确保考勤记录真实有效。</w:t>
      </w:r>
    </w:p>
    <w:p w14:paraId="11C9E5E2">
      <w:pPr>
        <w:spacing w:line="440" w:lineRule="exact"/>
        <w:ind w:firstLine="354" w:firstLineChars="147"/>
        <w:rPr>
          <w:rFonts w:hint="eastAsia" w:ascii="宋体" w:hAnsi="宋体" w:eastAsia="宋体" w:cs="宋体"/>
          <w:b/>
          <w:color w:val="auto"/>
          <w:sz w:val="24"/>
          <w:szCs w:val="24"/>
          <w:u w:val="single"/>
        </w:rPr>
      </w:pPr>
      <w:r>
        <w:rPr>
          <w:rFonts w:hint="eastAsia" w:ascii="宋体" w:hAnsi="宋体" w:eastAsia="宋体" w:cs="宋体"/>
          <w:b/>
          <w:color w:val="auto"/>
          <w:sz w:val="24"/>
          <w:szCs w:val="24"/>
          <w:u w:val="single"/>
        </w:rPr>
        <w:t>（2</w:t>
      </w:r>
      <w:r>
        <w:rPr>
          <w:rFonts w:hint="eastAsia" w:ascii="宋体" w:hAnsi="宋体" w:cs="宋体"/>
          <w:b/>
          <w:color w:val="auto"/>
          <w:sz w:val="24"/>
          <w:szCs w:val="24"/>
          <w:u w:val="single"/>
          <w:lang w:val="en-US" w:eastAsia="zh-CN"/>
        </w:rPr>
        <w:t>5</w:t>
      </w:r>
      <w:r>
        <w:rPr>
          <w:rFonts w:hint="eastAsia" w:ascii="宋体" w:hAnsi="宋体" w:eastAsia="宋体" w:cs="宋体"/>
          <w:b/>
          <w:color w:val="auto"/>
          <w:sz w:val="24"/>
          <w:szCs w:val="24"/>
          <w:u w:val="single"/>
        </w:rPr>
        <w:t>）承包人应建立农民工工资专用帐户，委托银行代发，确保农民工工资专款专用。</w:t>
      </w:r>
    </w:p>
    <w:p w14:paraId="0EC6130F">
      <w:pPr>
        <w:snapToGrid w:val="0"/>
        <w:spacing w:line="440" w:lineRule="exact"/>
        <w:ind w:firstLine="482" w:firstLineChars="200"/>
        <w:rPr>
          <w:rFonts w:hint="eastAsia" w:ascii="宋体" w:hAnsi="宋体" w:eastAsia="宋体" w:cs="宋体"/>
          <w:b/>
          <w:color w:val="auto"/>
          <w:sz w:val="24"/>
          <w:szCs w:val="24"/>
          <w:u w:val="single"/>
        </w:rPr>
      </w:pPr>
    </w:p>
    <w:p w14:paraId="0D6955C9">
      <w:pPr>
        <w:keepNext/>
        <w:keepLines/>
        <w:adjustRightInd w:val="0"/>
        <w:snapToGrid w:val="0"/>
        <w:spacing w:line="440" w:lineRule="exact"/>
        <w:jc w:val="center"/>
        <w:outlineLvl w:val="3"/>
        <w:rPr>
          <w:rFonts w:hint="eastAsia" w:ascii="宋体" w:hAnsi="宋体" w:eastAsia="宋体" w:cs="宋体"/>
          <w:bCs/>
          <w:color w:val="auto"/>
          <w:sz w:val="24"/>
          <w:szCs w:val="24"/>
        </w:rPr>
      </w:pPr>
    </w:p>
    <w:p w14:paraId="080CCB32">
      <w:pPr>
        <w:tabs>
          <w:tab w:val="left" w:pos="8280"/>
        </w:tabs>
        <w:adjustRightInd w:val="0"/>
        <w:snapToGrid w:val="0"/>
        <w:spacing w:before="60" w:after="120"/>
        <w:ind w:left="720" w:right="29" w:hanging="720"/>
        <w:rPr>
          <w:rFonts w:hint="eastAsia" w:ascii="宋体" w:hAnsi="宋体" w:eastAsia="宋体" w:cs="宋体"/>
          <w:b/>
          <w:color w:val="auto"/>
          <w:sz w:val="24"/>
          <w:szCs w:val="24"/>
        </w:rPr>
      </w:pPr>
      <w:r>
        <w:rPr>
          <w:rFonts w:hint="eastAsia" w:ascii="宋体" w:hAnsi="宋体" w:eastAsia="宋体" w:cs="宋体"/>
          <w:b/>
          <w:color w:val="auto"/>
          <w:sz w:val="24"/>
          <w:szCs w:val="24"/>
        </w:rPr>
        <w:t>附件</w:t>
      </w:r>
    </w:p>
    <w:p w14:paraId="2945CA9D">
      <w:pPr>
        <w:spacing w:line="400" w:lineRule="exact"/>
        <w:jc w:val="left"/>
        <w:rPr>
          <w:rFonts w:hint="eastAsia" w:ascii="宋体" w:hAnsi="宋体" w:eastAsia="宋体" w:cs="宋体"/>
          <w:b/>
          <w:color w:val="auto"/>
          <w:sz w:val="24"/>
          <w:szCs w:val="24"/>
        </w:rPr>
      </w:pPr>
      <w:r>
        <w:rPr>
          <w:rFonts w:hint="eastAsia" w:ascii="宋体" w:hAnsi="宋体" w:eastAsia="宋体" w:cs="宋体"/>
          <w:color w:val="auto"/>
          <w:sz w:val="24"/>
          <w:szCs w:val="24"/>
        </w:rPr>
        <w:t>附件1：工程质量保修书</w:t>
      </w:r>
    </w:p>
    <w:p w14:paraId="5B62884F">
      <w:pPr>
        <w:spacing w:line="40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附件2：建设工程廉政责任书</w:t>
      </w:r>
    </w:p>
    <w:p w14:paraId="7E15C3F4">
      <w:pPr>
        <w:spacing w:line="40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附件3：施工安全生产协议书</w:t>
      </w:r>
    </w:p>
    <w:p w14:paraId="11DFDFB8">
      <w:pPr>
        <w:spacing w:line="40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附件4：扬尘防控协议</w:t>
      </w:r>
    </w:p>
    <w:p w14:paraId="1AB8F9E7">
      <w:pPr>
        <w:spacing w:line="40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附件5：承包人用于本工程施工的机械设备表</w:t>
      </w:r>
    </w:p>
    <w:p w14:paraId="1FE8F972">
      <w:pPr>
        <w:spacing w:line="40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附件6：暂估价一览表</w:t>
      </w:r>
    </w:p>
    <w:p w14:paraId="38F3A0C7">
      <w:pPr>
        <w:spacing w:line="360" w:lineRule="auto"/>
        <w:jc w:val="left"/>
        <w:rPr>
          <w:rFonts w:asciiTheme="minorEastAsia" w:hAnsiTheme="minorEastAsia" w:eastAsiaTheme="minorEastAsia"/>
          <w:color w:val="auto"/>
          <w:sz w:val="24"/>
        </w:rPr>
      </w:pPr>
    </w:p>
    <w:p w14:paraId="29E59CDF">
      <w:pPr>
        <w:pStyle w:val="172"/>
        <w:spacing w:line="360" w:lineRule="auto"/>
        <w:jc w:val="center"/>
        <w:rPr>
          <w:rStyle w:val="85"/>
          <w:rFonts w:asciiTheme="minorEastAsia" w:hAnsiTheme="minorEastAsia" w:eastAsiaTheme="minorEastAsia"/>
          <w:i w:val="0"/>
          <w:color w:val="auto"/>
          <w:sz w:val="30"/>
          <w:szCs w:val="30"/>
        </w:rPr>
      </w:pPr>
    </w:p>
    <w:p w14:paraId="0643A803">
      <w:pPr>
        <w:spacing w:line="440" w:lineRule="exact"/>
        <w:rPr>
          <w:rFonts w:asciiTheme="minorEastAsia" w:hAnsiTheme="minorEastAsia" w:eastAsiaTheme="minorEastAsia"/>
          <w:color w:val="auto"/>
          <w:sz w:val="30"/>
          <w:szCs w:val="30"/>
        </w:rPr>
      </w:pPr>
      <w:r>
        <w:rPr>
          <w:rFonts w:asciiTheme="minorEastAsia" w:hAnsiTheme="minorEastAsia" w:eastAsiaTheme="minorEastAsia"/>
          <w:color w:val="auto"/>
          <w:sz w:val="30"/>
          <w:szCs w:val="30"/>
        </w:rPr>
        <w:br w:type="page"/>
      </w:r>
      <w:r>
        <w:rPr>
          <w:rFonts w:asciiTheme="minorEastAsia" w:hAnsiTheme="minorEastAsia" w:eastAsiaTheme="minorEastAsia"/>
          <w:color w:val="auto"/>
          <w:sz w:val="30"/>
          <w:szCs w:val="30"/>
        </w:rPr>
        <w:t>附</w:t>
      </w:r>
      <w:bookmarkStart w:id="507" w:name="_Toc296944565"/>
      <w:bookmarkStart w:id="508" w:name="_Toc296347225"/>
      <w:bookmarkStart w:id="509" w:name="_Toc296346727"/>
      <w:bookmarkStart w:id="510" w:name="_Toc267261693"/>
      <w:bookmarkStart w:id="511" w:name="_Toc296503226"/>
      <w:bookmarkStart w:id="512" w:name="_Toc296891266"/>
      <w:bookmarkStart w:id="513" w:name="_Toc296891054"/>
      <w:r>
        <w:rPr>
          <w:rFonts w:asciiTheme="minorEastAsia" w:hAnsiTheme="minorEastAsia" w:eastAsiaTheme="minorEastAsia"/>
          <w:color w:val="auto"/>
          <w:sz w:val="30"/>
          <w:szCs w:val="30"/>
        </w:rPr>
        <w:t>件</w:t>
      </w:r>
      <w:r>
        <w:rPr>
          <w:rFonts w:hint="eastAsia" w:asciiTheme="minorEastAsia" w:hAnsiTheme="minorEastAsia" w:eastAsiaTheme="minorEastAsia"/>
          <w:color w:val="auto"/>
          <w:sz w:val="30"/>
          <w:szCs w:val="30"/>
        </w:rPr>
        <w:t>1</w:t>
      </w:r>
      <w:r>
        <w:rPr>
          <w:rFonts w:asciiTheme="minorEastAsia" w:hAnsiTheme="minorEastAsia" w:eastAsiaTheme="minorEastAsia"/>
          <w:color w:val="auto"/>
          <w:sz w:val="30"/>
          <w:szCs w:val="30"/>
        </w:rPr>
        <w:t>：</w:t>
      </w:r>
      <w:bookmarkEnd w:id="507"/>
      <w:bookmarkEnd w:id="508"/>
      <w:bookmarkEnd w:id="509"/>
      <w:bookmarkEnd w:id="510"/>
      <w:bookmarkEnd w:id="511"/>
      <w:bookmarkEnd w:id="512"/>
      <w:bookmarkEnd w:id="513"/>
    </w:p>
    <w:p w14:paraId="3A8774C0">
      <w:pPr>
        <w:spacing w:before="120" w:beforeLines="50" w:after="120" w:afterLines="50" w:line="440" w:lineRule="exact"/>
        <w:jc w:val="center"/>
        <w:rPr>
          <w:rFonts w:asciiTheme="minorEastAsia" w:hAnsiTheme="minorEastAsia" w:eastAsiaTheme="minorEastAsia"/>
          <w:b/>
          <w:color w:val="auto"/>
          <w:sz w:val="30"/>
          <w:szCs w:val="30"/>
        </w:rPr>
      </w:pPr>
      <w:r>
        <w:rPr>
          <w:rFonts w:asciiTheme="minorEastAsia" w:hAnsiTheme="minorEastAsia" w:eastAsiaTheme="minorEastAsia"/>
          <w:b/>
          <w:color w:val="auto"/>
          <w:sz w:val="30"/>
          <w:szCs w:val="30"/>
        </w:rPr>
        <w:t>工程质量保修书</w:t>
      </w:r>
    </w:p>
    <w:p w14:paraId="7B3C4596">
      <w:pPr>
        <w:spacing w:line="360" w:lineRule="auto"/>
        <w:ind w:firstLine="480" w:firstLineChars="200"/>
        <w:rPr>
          <w:rFonts w:hint="eastAsia" w:ascii="宋体" w:hAnsi="宋体" w:eastAsia="宋体" w:cs="宋体"/>
          <w:b/>
          <w:color w:val="auto"/>
          <w:sz w:val="24"/>
          <w:szCs w:val="24"/>
          <w:u w:val="single"/>
        </w:rPr>
      </w:pPr>
      <w:r>
        <w:rPr>
          <w:rFonts w:hint="eastAsia" w:ascii="宋体" w:hAnsi="宋体" w:eastAsia="宋体" w:cs="宋体"/>
          <w:color w:val="auto"/>
          <w:sz w:val="24"/>
          <w:szCs w:val="24"/>
        </w:rPr>
        <w:t>发包人：</w:t>
      </w:r>
      <w:r>
        <w:rPr>
          <w:rFonts w:hint="eastAsia" w:ascii="宋体" w:hAnsi="宋体" w:eastAsia="宋体" w:cs="宋体"/>
          <w:b/>
          <w:color w:val="auto"/>
          <w:sz w:val="24"/>
          <w:szCs w:val="24"/>
          <w:u w:val="single"/>
        </w:rPr>
        <w:t xml:space="preserve">    </w:t>
      </w:r>
      <w:r>
        <w:rPr>
          <w:rFonts w:hint="eastAsia" w:ascii="宋体" w:hAnsi="宋体" w:cs="宋体"/>
          <w:b/>
          <w:color w:val="auto"/>
          <w:sz w:val="24"/>
          <w:szCs w:val="24"/>
          <w:u w:val="single"/>
          <w:lang w:val="en-US" w:eastAsia="zh-CN"/>
        </w:rPr>
        <w:t xml:space="preserve">                          </w:t>
      </w:r>
      <w:r>
        <w:rPr>
          <w:rFonts w:hint="eastAsia" w:ascii="宋体" w:hAnsi="宋体" w:eastAsia="宋体" w:cs="宋体"/>
          <w:b/>
          <w:color w:val="auto"/>
          <w:sz w:val="24"/>
          <w:szCs w:val="24"/>
          <w:u w:val="single"/>
        </w:rPr>
        <w:t xml:space="preserve">   </w:t>
      </w:r>
    </w:p>
    <w:p w14:paraId="08D765C5">
      <w:pPr>
        <w:spacing w:line="360" w:lineRule="auto"/>
        <w:ind w:firstLine="480" w:firstLineChars="200"/>
        <w:rPr>
          <w:rFonts w:hint="eastAsia" w:ascii="宋体" w:hAnsi="宋体" w:eastAsia="宋体" w:cs="宋体"/>
          <w:color w:val="auto"/>
          <w:sz w:val="24"/>
          <w:szCs w:val="24"/>
          <w:u w:val="single"/>
        </w:rPr>
      </w:pPr>
      <w:r>
        <w:rPr>
          <w:rFonts w:hint="eastAsia" w:ascii="宋体" w:hAnsi="宋体" w:eastAsia="宋体" w:cs="宋体"/>
          <w:color w:val="auto"/>
          <w:sz w:val="24"/>
          <w:szCs w:val="24"/>
        </w:rPr>
        <w:t>承包人：</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w:t>
      </w:r>
      <w:r>
        <w:rPr>
          <w:rFonts w:hint="eastAsia" w:ascii="宋体" w:hAnsi="宋体" w:eastAsia="宋体" w:cs="宋体"/>
          <w:color w:val="auto"/>
          <w:sz w:val="24"/>
          <w:szCs w:val="24"/>
          <w:u w:val="single"/>
        </w:rPr>
        <w:t xml:space="preserve"> </w:t>
      </w:r>
    </w:p>
    <w:p w14:paraId="728B0A06">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发包人、承包人根据《中华人民共和国建筑法》、《建设工程质量管理条例》和《房屋建筑工程质量保修办法》，经协商一致，对</w:t>
      </w:r>
      <w:r>
        <w:rPr>
          <w:rFonts w:hint="eastAsia" w:ascii="宋体" w:hAnsi="宋体" w:eastAsia="宋体" w:cs="宋体"/>
          <w:b/>
          <w:bCs/>
          <w:color w:val="auto"/>
          <w:kern w:val="0"/>
          <w:sz w:val="24"/>
          <w:szCs w:val="24"/>
          <w:u w:val="single"/>
        </w:rPr>
        <w:t xml:space="preserve">              </w:t>
      </w:r>
      <w:r>
        <w:rPr>
          <w:rFonts w:hint="eastAsia" w:ascii="宋体" w:hAnsi="宋体" w:eastAsia="宋体" w:cs="宋体"/>
          <w:color w:val="auto"/>
          <w:sz w:val="24"/>
          <w:szCs w:val="24"/>
        </w:rPr>
        <w:t>签订工程质量保修书。</w:t>
      </w:r>
    </w:p>
    <w:p w14:paraId="2050D651">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一、工程质量保修范围和内容</w:t>
      </w:r>
    </w:p>
    <w:p w14:paraId="42BE7A7D">
      <w:pPr>
        <w:spacing w:line="460" w:lineRule="exact"/>
        <w:ind w:firstLine="200"/>
        <w:rPr>
          <w:rFonts w:hint="eastAsia" w:ascii="宋体" w:hAnsi="宋体" w:eastAsia="宋体" w:cs="宋体"/>
          <w:color w:val="auto"/>
          <w:sz w:val="24"/>
          <w:szCs w:val="24"/>
        </w:rPr>
      </w:pPr>
      <w:r>
        <w:rPr>
          <w:rFonts w:hint="eastAsia" w:ascii="宋体" w:hAnsi="宋体" w:eastAsia="宋体" w:cs="宋体"/>
          <w:color w:val="auto"/>
          <w:sz w:val="24"/>
          <w:szCs w:val="24"/>
        </w:rPr>
        <w:t>　承包人在质量保修期内，按照有关法律规定和合同约定，承担工程质量保修责任。</w:t>
      </w:r>
    </w:p>
    <w:p w14:paraId="7F735F7E">
      <w:pPr>
        <w:spacing w:line="460" w:lineRule="exact"/>
        <w:ind w:firstLine="200"/>
        <w:rPr>
          <w:rFonts w:hint="eastAsia" w:ascii="宋体" w:hAnsi="宋体" w:eastAsia="宋体" w:cs="宋体"/>
          <w:color w:val="auto"/>
          <w:sz w:val="24"/>
          <w:szCs w:val="24"/>
        </w:rPr>
      </w:pPr>
      <w:r>
        <w:rPr>
          <w:rFonts w:hint="eastAsia" w:ascii="宋体" w:hAnsi="宋体" w:eastAsia="宋体" w:cs="宋体"/>
          <w:color w:val="auto"/>
          <w:sz w:val="24"/>
          <w:szCs w:val="24"/>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hint="eastAsia" w:ascii="宋体" w:hAnsi="宋体" w:eastAsia="宋体" w:cs="宋体"/>
          <w:b/>
          <w:bCs/>
          <w:color w:val="auto"/>
          <w:sz w:val="24"/>
          <w:szCs w:val="24"/>
          <w:u w:val="single"/>
        </w:rPr>
        <w:t>承包人所施工的内容。</w:t>
      </w:r>
    </w:p>
    <w:p w14:paraId="7B1DB1EE">
      <w:pPr>
        <w:spacing w:line="460" w:lineRule="exact"/>
        <w:ind w:firstLine="200"/>
        <w:rPr>
          <w:rFonts w:hint="eastAsia" w:ascii="宋体" w:hAnsi="宋体" w:eastAsia="宋体" w:cs="宋体"/>
          <w:color w:val="auto"/>
          <w:sz w:val="24"/>
          <w:szCs w:val="24"/>
        </w:rPr>
      </w:pPr>
      <w:r>
        <w:rPr>
          <w:rFonts w:hint="eastAsia" w:ascii="宋体" w:hAnsi="宋体" w:eastAsia="宋体" w:cs="宋体"/>
          <w:b/>
          <w:color w:val="auto"/>
          <w:sz w:val="24"/>
          <w:szCs w:val="24"/>
        </w:rPr>
        <w:t>　</w:t>
      </w:r>
      <w:r>
        <w:rPr>
          <w:rFonts w:hint="eastAsia" w:ascii="宋体" w:hAnsi="宋体" w:eastAsia="宋体" w:cs="宋体"/>
          <w:color w:val="auto"/>
          <w:sz w:val="24"/>
          <w:szCs w:val="24"/>
        </w:rPr>
        <w:t>二、质量保修期</w:t>
      </w:r>
    </w:p>
    <w:p w14:paraId="2871D022">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根据《建设工程质量管理条例》及有关规定，工程的质量保修期如下：</w:t>
      </w:r>
    </w:p>
    <w:p w14:paraId="6C74D7D4">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1．地基基础工程和主体结构工程为设计文件规定的工程合理使用年限；</w:t>
      </w:r>
    </w:p>
    <w:p w14:paraId="68752DFE">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2．屋面防水工程、有防水要求的卫生间、房间和外墙面的防渗为</w:t>
      </w:r>
      <w:r>
        <w:rPr>
          <w:rFonts w:hint="eastAsia" w:ascii="宋体" w:hAnsi="宋体" w:eastAsia="宋体" w:cs="宋体"/>
          <w:color w:val="auto"/>
          <w:sz w:val="24"/>
          <w:szCs w:val="24"/>
          <w:u w:val="single"/>
        </w:rPr>
        <w:t xml:space="preserve">5 </w:t>
      </w:r>
      <w:r>
        <w:rPr>
          <w:rFonts w:hint="eastAsia" w:ascii="宋体" w:hAnsi="宋体" w:eastAsia="宋体" w:cs="宋体"/>
          <w:color w:val="auto"/>
          <w:sz w:val="24"/>
          <w:szCs w:val="24"/>
        </w:rPr>
        <w:t>年；</w:t>
      </w:r>
    </w:p>
    <w:p w14:paraId="1E472FDF">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3．装修工程为</w:t>
      </w:r>
      <w:r>
        <w:rPr>
          <w:rFonts w:hint="eastAsia" w:ascii="宋体" w:hAnsi="宋体" w:eastAsia="宋体" w:cs="宋体"/>
          <w:color w:val="auto"/>
          <w:sz w:val="24"/>
          <w:szCs w:val="24"/>
          <w:u w:val="single"/>
        </w:rPr>
        <w:t>2</w:t>
      </w:r>
      <w:r>
        <w:rPr>
          <w:rFonts w:hint="eastAsia" w:ascii="宋体" w:hAnsi="宋体" w:eastAsia="宋体" w:cs="宋体"/>
          <w:color w:val="auto"/>
          <w:sz w:val="24"/>
          <w:szCs w:val="24"/>
        </w:rPr>
        <w:t>年；</w:t>
      </w:r>
    </w:p>
    <w:p w14:paraId="4C2DE72F">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4．电气管线、给排水管道、设备安装工程为</w:t>
      </w:r>
      <w:r>
        <w:rPr>
          <w:rFonts w:hint="eastAsia" w:ascii="宋体" w:hAnsi="宋体" w:eastAsia="宋体" w:cs="宋体"/>
          <w:color w:val="auto"/>
          <w:sz w:val="24"/>
          <w:szCs w:val="24"/>
          <w:u w:val="single"/>
        </w:rPr>
        <w:t>2</w:t>
      </w:r>
      <w:r>
        <w:rPr>
          <w:rFonts w:hint="eastAsia" w:ascii="宋体" w:hAnsi="宋体" w:eastAsia="宋体" w:cs="宋体"/>
          <w:color w:val="auto"/>
          <w:sz w:val="24"/>
          <w:szCs w:val="24"/>
        </w:rPr>
        <w:t>年；</w:t>
      </w:r>
    </w:p>
    <w:p w14:paraId="38CF3698">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5．供热与供冷系统为</w:t>
      </w:r>
      <w:r>
        <w:rPr>
          <w:rFonts w:hint="eastAsia" w:ascii="宋体" w:hAnsi="宋体" w:eastAsia="宋体" w:cs="宋体"/>
          <w:color w:val="auto"/>
          <w:sz w:val="24"/>
          <w:szCs w:val="24"/>
          <w:u w:val="single"/>
        </w:rPr>
        <w:t xml:space="preserve">  2  </w:t>
      </w:r>
      <w:r>
        <w:rPr>
          <w:rFonts w:hint="eastAsia" w:ascii="宋体" w:hAnsi="宋体" w:eastAsia="宋体" w:cs="宋体"/>
          <w:color w:val="auto"/>
          <w:sz w:val="24"/>
          <w:szCs w:val="24"/>
        </w:rPr>
        <w:t>个采暖期、供冷期；</w:t>
      </w:r>
    </w:p>
    <w:p w14:paraId="6EECCCFC">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6．住宅小区内的给排水设施、道路等配套工程为</w:t>
      </w:r>
      <w:r>
        <w:rPr>
          <w:rFonts w:hint="eastAsia" w:ascii="宋体" w:hAnsi="宋体" w:eastAsia="宋体" w:cs="宋体"/>
          <w:color w:val="auto"/>
          <w:sz w:val="24"/>
          <w:szCs w:val="24"/>
          <w:u w:val="single"/>
        </w:rPr>
        <w:t>2</w:t>
      </w:r>
      <w:r>
        <w:rPr>
          <w:rFonts w:hint="eastAsia" w:ascii="宋体" w:hAnsi="宋体" w:eastAsia="宋体" w:cs="宋体"/>
          <w:color w:val="auto"/>
          <w:sz w:val="24"/>
          <w:szCs w:val="24"/>
        </w:rPr>
        <w:t>年；</w:t>
      </w:r>
    </w:p>
    <w:p w14:paraId="5468B5A6">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7．其他项目保修期限约定如下：</w:t>
      </w:r>
      <w:r>
        <w:rPr>
          <w:rFonts w:hint="eastAsia" w:ascii="宋体" w:hAnsi="宋体" w:eastAsia="宋体" w:cs="宋体"/>
          <w:b/>
          <w:color w:val="auto"/>
          <w:sz w:val="24"/>
          <w:szCs w:val="24"/>
          <w:u w:val="single"/>
        </w:rPr>
        <w:t>在保修期内出现下述情况的，保修期作适当延长（以原保修期的50%为限）：钢构件防腐处理质量问题、经多次维修但未能有效处理好的质量问题。</w:t>
      </w:r>
    </w:p>
    <w:p w14:paraId="43BB806C">
      <w:pPr>
        <w:spacing w:line="460" w:lineRule="exact"/>
        <w:ind w:firstLine="200"/>
        <w:rPr>
          <w:rFonts w:hint="eastAsia" w:ascii="宋体" w:hAnsi="宋体" w:eastAsia="宋体" w:cs="宋体"/>
          <w:color w:val="auto"/>
          <w:sz w:val="24"/>
          <w:szCs w:val="24"/>
        </w:rPr>
      </w:pPr>
      <w:r>
        <w:rPr>
          <w:rFonts w:hint="eastAsia" w:ascii="宋体" w:hAnsi="宋体" w:eastAsia="宋体" w:cs="宋体"/>
          <w:color w:val="auto"/>
          <w:sz w:val="24"/>
          <w:szCs w:val="24"/>
        </w:rPr>
        <w:t>　　质量保修期自工程竣工验收合格之日起计算。</w:t>
      </w:r>
    </w:p>
    <w:p w14:paraId="3A462999">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三、缺陷责任期</w:t>
      </w:r>
    </w:p>
    <w:p w14:paraId="31291A6E">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工程缺陷责任期为</w:t>
      </w:r>
      <w:r>
        <w:rPr>
          <w:rFonts w:hint="eastAsia" w:ascii="宋体" w:hAnsi="宋体" w:eastAsia="宋体" w:cs="宋体"/>
          <w:color w:val="auto"/>
          <w:sz w:val="24"/>
          <w:szCs w:val="24"/>
          <w:u w:val="single"/>
        </w:rPr>
        <w:t xml:space="preserve">  24  </w:t>
      </w:r>
      <w:r>
        <w:rPr>
          <w:rFonts w:hint="eastAsia" w:ascii="宋体" w:hAnsi="宋体" w:eastAsia="宋体" w:cs="宋体"/>
          <w:color w:val="auto"/>
          <w:sz w:val="24"/>
          <w:szCs w:val="24"/>
        </w:rPr>
        <w:t>个月，缺陷责任期自工程</w:t>
      </w:r>
      <w:r>
        <w:rPr>
          <w:rFonts w:hint="eastAsia" w:ascii="宋体" w:hAnsi="宋体" w:eastAsia="宋体" w:cs="宋体"/>
          <w:b/>
          <w:color w:val="auto"/>
          <w:sz w:val="24"/>
          <w:szCs w:val="24"/>
        </w:rPr>
        <w:t>通过竣工验收</w:t>
      </w:r>
      <w:r>
        <w:rPr>
          <w:rFonts w:hint="eastAsia" w:ascii="宋体" w:hAnsi="宋体" w:eastAsia="宋体" w:cs="宋体"/>
          <w:color w:val="auto"/>
          <w:sz w:val="24"/>
          <w:szCs w:val="24"/>
        </w:rPr>
        <w:t>之日起计算。单位工程先于全部工程进行验收，单位工程缺陷责任期自单位工程验收合格之日起算。</w:t>
      </w:r>
    </w:p>
    <w:p w14:paraId="042C44ED">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缺陷责任期终止后，发包人应退还剩余的质量保修金。</w:t>
      </w:r>
    </w:p>
    <w:p w14:paraId="0BF6234C">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四、质量保修责任</w:t>
      </w:r>
    </w:p>
    <w:p w14:paraId="40F8471A">
      <w:pPr>
        <w:autoSpaceDE w:val="0"/>
        <w:autoSpaceDN w:val="0"/>
        <w:adjustRightInd w:val="0"/>
        <w:spacing w:line="46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1.属于保修范围、内容的项目，承包人应当在接到保修通知之日起7天内派人保修。承包人不在约定期限内派人保修的，发包人可以委托他人修理。</w:t>
      </w:r>
    </w:p>
    <w:p w14:paraId="1CD5E919">
      <w:pPr>
        <w:autoSpaceDE w:val="0"/>
        <w:autoSpaceDN w:val="0"/>
        <w:adjustRightInd w:val="0"/>
        <w:spacing w:line="46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2.发生紧急抢修事故的，承包人在接到事故通知后，应当立即到达事故现场抢修。</w:t>
      </w:r>
    </w:p>
    <w:p w14:paraId="05910C5E">
      <w:pPr>
        <w:autoSpaceDE w:val="0"/>
        <w:autoSpaceDN w:val="0"/>
        <w:adjustRightInd w:val="0"/>
        <w:spacing w:line="46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对于涉及结构安全的质量问题，应当按照《建设工程质量管理条例》的规定，立即向当地建设行政主管部门报告，采取安全防范措施，由原设计单位或者具有相应资质等级的设计单位提出保修方案，承包人实施保修。</w:t>
      </w:r>
    </w:p>
    <w:p w14:paraId="451B1DC2">
      <w:pPr>
        <w:autoSpaceDE w:val="0"/>
        <w:autoSpaceDN w:val="0"/>
        <w:adjustRightInd w:val="0"/>
        <w:spacing w:line="46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质量保修完成后，由发包人组织验收。</w:t>
      </w:r>
    </w:p>
    <w:p w14:paraId="55EA45D9">
      <w:pPr>
        <w:autoSpaceDE w:val="0"/>
        <w:autoSpaceDN w:val="0"/>
        <w:adjustRightInd w:val="0"/>
        <w:spacing w:line="460" w:lineRule="exact"/>
        <w:ind w:firstLine="480" w:firstLineChars="200"/>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五、保修费用</w:t>
      </w:r>
    </w:p>
    <w:p w14:paraId="1CC19F9D">
      <w:pPr>
        <w:autoSpaceDE w:val="0"/>
        <w:autoSpaceDN w:val="0"/>
        <w:adjustRightInd w:val="0"/>
        <w:spacing w:line="46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1.保修费用由造成质量缺陷的责任方承担。</w:t>
      </w:r>
    </w:p>
    <w:p w14:paraId="64804723">
      <w:pPr>
        <w:autoSpaceDE w:val="0"/>
        <w:autoSpaceDN w:val="0"/>
        <w:adjustRightInd w:val="0"/>
        <w:spacing w:line="460" w:lineRule="exact"/>
        <w:ind w:firstLine="480" w:firstLineChars="200"/>
        <w:rPr>
          <w:rFonts w:hint="eastAsia" w:ascii="宋体" w:hAnsi="宋体" w:eastAsia="宋体" w:cs="宋体"/>
          <w:i/>
          <w:iCs/>
          <w:color w:val="auto"/>
          <w:sz w:val="24"/>
          <w:szCs w:val="24"/>
        </w:rPr>
      </w:pPr>
      <w:r>
        <w:rPr>
          <w:rFonts w:hint="eastAsia" w:ascii="宋体" w:hAnsi="宋体" w:eastAsia="宋体" w:cs="宋体"/>
          <w:color w:val="auto"/>
          <w:kern w:val="0"/>
          <w:sz w:val="24"/>
          <w:szCs w:val="24"/>
        </w:rPr>
        <w:t>2.</w:t>
      </w:r>
      <w:r>
        <w:rPr>
          <w:rFonts w:hint="eastAsia" w:ascii="宋体" w:hAnsi="宋体" w:eastAsia="宋体" w:cs="宋体"/>
          <w:iCs/>
          <w:color w:val="auto"/>
          <w:sz w:val="24"/>
          <w:szCs w:val="24"/>
        </w:rPr>
        <w:t>工程质量保修金为工程总价（审计后）的3%，保修费从工程质量保修金内扣除。</w:t>
      </w:r>
    </w:p>
    <w:p w14:paraId="3850B8CB">
      <w:pPr>
        <w:autoSpaceDE w:val="0"/>
        <w:autoSpaceDN w:val="0"/>
        <w:adjustRightInd w:val="0"/>
        <w:spacing w:line="460" w:lineRule="exact"/>
        <w:ind w:firstLine="480" w:firstLineChars="200"/>
        <w:rPr>
          <w:rFonts w:hint="eastAsia" w:ascii="宋体" w:hAnsi="宋体" w:eastAsia="宋体" w:cs="宋体"/>
          <w:color w:val="auto"/>
          <w:kern w:val="0"/>
          <w:sz w:val="24"/>
          <w:szCs w:val="24"/>
          <w:u w:val="single"/>
        </w:rPr>
      </w:pPr>
      <w:r>
        <w:rPr>
          <w:rFonts w:hint="eastAsia" w:ascii="宋体" w:hAnsi="宋体" w:eastAsia="宋体" w:cs="宋体"/>
          <w:bCs/>
          <w:color w:val="auto"/>
          <w:kern w:val="0"/>
          <w:sz w:val="24"/>
          <w:szCs w:val="24"/>
        </w:rPr>
        <w:t>六、</w:t>
      </w:r>
      <w:r>
        <w:rPr>
          <w:rFonts w:hint="eastAsia" w:ascii="宋体" w:hAnsi="宋体" w:eastAsia="宋体" w:cs="宋体"/>
          <w:color w:val="auto"/>
          <w:kern w:val="0"/>
          <w:sz w:val="24"/>
          <w:szCs w:val="24"/>
        </w:rPr>
        <w:t>双方约定的其他工程质量保修事项：。</w:t>
      </w:r>
    </w:p>
    <w:p w14:paraId="495C399E">
      <w:pPr>
        <w:spacing w:line="460" w:lineRule="exact"/>
        <w:ind w:firstLine="456" w:firstLineChars="190"/>
        <w:rPr>
          <w:rFonts w:hint="eastAsia" w:ascii="宋体" w:hAnsi="宋体" w:eastAsia="宋体" w:cs="宋体"/>
          <w:color w:val="auto"/>
          <w:sz w:val="24"/>
          <w:szCs w:val="24"/>
        </w:rPr>
      </w:pPr>
      <w:r>
        <w:rPr>
          <w:rFonts w:hint="eastAsia" w:ascii="宋体" w:hAnsi="宋体" w:eastAsia="宋体" w:cs="宋体"/>
          <w:color w:val="auto"/>
          <w:sz w:val="24"/>
          <w:szCs w:val="24"/>
        </w:rPr>
        <w:t>工程质量保修书由发包人、承包人在工程竣工验收前共同签署，作为施工合同附件，其有效期限至保修期满。</w:t>
      </w:r>
    </w:p>
    <w:p w14:paraId="435E4C29">
      <w:pPr>
        <w:spacing w:line="460" w:lineRule="exact"/>
        <w:ind w:firstLine="200"/>
        <w:rPr>
          <w:rFonts w:hint="eastAsia" w:ascii="宋体" w:hAnsi="宋体" w:eastAsia="宋体" w:cs="宋体"/>
          <w:color w:val="auto"/>
          <w:sz w:val="24"/>
          <w:szCs w:val="24"/>
        </w:rPr>
      </w:pPr>
    </w:p>
    <w:p w14:paraId="2589A8F9">
      <w:pPr>
        <w:spacing w:line="460" w:lineRule="exact"/>
        <w:ind w:firstLine="200"/>
        <w:rPr>
          <w:rFonts w:hint="eastAsia" w:ascii="宋体" w:hAnsi="宋体" w:eastAsia="宋体" w:cs="宋体"/>
          <w:color w:val="auto"/>
          <w:sz w:val="24"/>
          <w:szCs w:val="24"/>
        </w:rPr>
      </w:pPr>
    </w:p>
    <w:p w14:paraId="6663ADB9">
      <w:pPr>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发包人(盖章)：                             承包人(盖章)：</w:t>
      </w:r>
    </w:p>
    <w:p w14:paraId="62C78517">
      <w:pPr>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地址：                                     地址：</w:t>
      </w:r>
    </w:p>
    <w:p w14:paraId="5BA602D5">
      <w:pPr>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法定代表人(签字)：                         法定代表人(签字)：</w:t>
      </w:r>
    </w:p>
    <w:p w14:paraId="2EB1C60B">
      <w:pPr>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委托代理人(签字)：                         委托代理人(签字)：</w:t>
      </w:r>
    </w:p>
    <w:p w14:paraId="611FD18C">
      <w:pPr>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电话：                                     电话：</w:t>
      </w:r>
    </w:p>
    <w:p w14:paraId="76E01B71">
      <w:pPr>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传真：                                     传真：</w:t>
      </w:r>
    </w:p>
    <w:p w14:paraId="7413B9B5">
      <w:pPr>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开户银行：                                 开户银行：</w:t>
      </w:r>
    </w:p>
    <w:p w14:paraId="6822730B">
      <w:pPr>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账号：                                     账号：</w:t>
      </w:r>
    </w:p>
    <w:p w14:paraId="201260C0">
      <w:pPr>
        <w:pStyle w:val="172"/>
        <w:spacing w:line="420" w:lineRule="exact"/>
        <w:rPr>
          <w:rStyle w:val="85"/>
          <w:rFonts w:asciiTheme="minorEastAsia" w:hAnsiTheme="minorEastAsia" w:eastAsiaTheme="minorEastAsia"/>
          <w:i w:val="0"/>
          <w:color w:val="auto"/>
        </w:rPr>
      </w:pPr>
      <w:r>
        <w:rPr>
          <w:rFonts w:hint="eastAsia" w:ascii="宋体" w:hAnsi="宋体" w:eastAsia="宋体" w:cs="宋体"/>
          <w:i w:val="0"/>
          <w:color w:val="auto"/>
          <w:kern w:val="2"/>
          <w:sz w:val="24"/>
          <w:szCs w:val="24"/>
          <w:lang w:val="en-US" w:eastAsia="zh-CN" w:bidi="ar-SA"/>
        </w:rPr>
        <w:t xml:space="preserve">邮政编码：                                 邮政编码：      </w:t>
      </w:r>
      <w:r>
        <w:rPr>
          <w:rStyle w:val="85"/>
          <w:rFonts w:hint="eastAsia" w:asciiTheme="minorEastAsia" w:hAnsiTheme="minorEastAsia" w:eastAsiaTheme="minorEastAsia"/>
          <w:i w:val="0"/>
          <w:color w:val="auto"/>
        </w:rPr>
        <w:t xml:space="preserve">      </w:t>
      </w:r>
    </w:p>
    <w:p w14:paraId="78A8A448">
      <w:pPr>
        <w:spacing w:line="360" w:lineRule="auto"/>
        <w:jc w:val="left"/>
        <w:rPr>
          <w:rFonts w:hint="eastAsia" w:ascii="宋体" w:hAnsi="宋体" w:eastAsia="宋体" w:cs="宋体"/>
          <w:b/>
          <w:color w:val="auto"/>
          <w:sz w:val="24"/>
          <w:szCs w:val="24"/>
        </w:rPr>
      </w:pPr>
      <w:r>
        <w:rPr>
          <w:rFonts w:asciiTheme="minorEastAsia" w:hAnsiTheme="minorEastAsia" w:eastAsiaTheme="minorEastAsia"/>
          <w:color w:val="auto"/>
          <w:sz w:val="30"/>
          <w:szCs w:val="30"/>
        </w:rPr>
        <w:br w:type="page"/>
      </w:r>
      <w:r>
        <w:rPr>
          <w:rFonts w:hint="eastAsia" w:ascii="宋体" w:hAnsi="宋体" w:eastAsia="宋体" w:cs="宋体"/>
          <w:color w:val="auto"/>
          <w:sz w:val="24"/>
          <w:szCs w:val="24"/>
        </w:rPr>
        <w:t>附件2：</w:t>
      </w:r>
    </w:p>
    <w:p w14:paraId="4ABC46F2">
      <w:pPr>
        <w:spacing w:line="500" w:lineRule="exact"/>
        <w:ind w:firstLine="480" w:firstLineChars="200"/>
        <w:jc w:val="center"/>
        <w:rPr>
          <w:rFonts w:hint="eastAsia" w:ascii="宋体" w:hAnsi="宋体" w:eastAsia="宋体" w:cs="宋体"/>
          <w:color w:val="auto"/>
          <w:sz w:val="24"/>
          <w:szCs w:val="24"/>
        </w:rPr>
      </w:pPr>
      <w:r>
        <w:rPr>
          <w:rFonts w:hint="eastAsia" w:ascii="宋体" w:hAnsi="宋体" w:eastAsia="宋体" w:cs="宋体"/>
          <w:color w:val="auto"/>
          <w:sz w:val="24"/>
          <w:szCs w:val="24"/>
        </w:rPr>
        <w:t>工程建设廉洁协议</w:t>
      </w:r>
    </w:p>
    <w:p w14:paraId="7FEED819">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发包方：</w:t>
      </w:r>
    </w:p>
    <w:p w14:paraId="207108D7">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承包方：</w:t>
      </w:r>
    </w:p>
    <w:p w14:paraId="606AE662">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为加强工程项目廉洁建设，规范各项活动中发包方承包方双方的行为，防止谋取不正当利益的违法违纪现象的发生，保护国家、集体和当事人的合法权益，根据国家有关工程建设的法律法规和廉洁建设的有关规定，订立本廉洁协议。</w:t>
      </w:r>
    </w:p>
    <w:p w14:paraId="33911A4C">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一、双方的责任</w:t>
      </w:r>
    </w:p>
    <w:p w14:paraId="0DEF485C">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1.应严格遵守国家关于建设工程的有关法律、法规，相关政策，以及廉洁建设的各项规定。</w:t>
      </w:r>
    </w:p>
    <w:p w14:paraId="6187C091">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2.严格执行建设工程合同文件，自觉按合同办事。</w:t>
      </w:r>
    </w:p>
    <w:p w14:paraId="24ABB4A5">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3.各项活动必须坚持公开、公平、公正、诚信、透明的原则(除法律法规另有规定者外)，不得为获取不正当的利益，损害国家、集体和对方利益，不得违反建设工程管理的规章制度。</w:t>
      </w:r>
    </w:p>
    <w:p w14:paraId="0F61D802">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4.发现对方在业务活动中有违规、违纪、违法行为的，应及时提醒对方，情节严重的，应向其上级主管部门或纪检监察、司法等有关机关举报。</w:t>
      </w:r>
    </w:p>
    <w:p w14:paraId="649553D5">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二、发包方责任</w:t>
      </w:r>
    </w:p>
    <w:p w14:paraId="55D68371">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发包方的领导和从事该建设工程项目的工作人员，在工程建设的事前、事中、事后应遵守以下规定：</w:t>
      </w:r>
    </w:p>
    <w:p w14:paraId="6D9FDEE6">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1.不得利用职权或者职务上的影响谋取私利、为他人谋取利益、搞权权交易、无偿或象征性地支付报酬接受服务及使用劳务。</w:t>
      </w:r>
    </w:p>
    <w:p w14:paraId="7C430632">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2.不得收受、持有、实际使用可能影响公正执行职务的礼品、礼金、运动健身卡及会所和俱乐部会员卡、高尔夫球卡等各种消费卡与有价证券、股权、其他金融产品等财物。</w:t>
      </w:r>
    </w:p>
    <w:p w14:paraId="6AEEE430">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3.不得在承包方和相关单位报销任何应由发包方或个人支付的费用，不得借用承包方和相关单位的钱款、住房、车辆，影响公正执行职务。</w:t>
      </w:r>
    </w:p>
    <w:p w14:paraId="6540CC3B">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4.不得要求、暗示或接受承包方和相关单位为个人装修住房、婚丧嫁娶、配偶子女的工作安排以及出国(境)、旅游等提供方便；不得接受可能影响公正执行职务的宴请或者旅游、健身、娱乐等活动安排。</w:t>
      </w:r>
    </w:p>
    <w:p w14:paraId="4AD7689D">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不得向承包方和相关单位介绍或为配偶、子女、亲属参与同发包方工程建设管理合同有关的业务活动；禁止配偶、子女及其配偶等亲属和其他特定关系人在承包方和相关单位不实际工作而获取薪酬或者虽实际工作但领取明显超出同职级标准薪酬。</w:t>
      </w:r>
    </w:p>
    <w:p w14:paraId="48720619">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6.不得以任何理由要求承包方和相关单位使用某种产品、材料和设备。</w:t>
      </w:r>
    </w:p>
    <w:p w14:paraId="10710A6B">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三、承包方责任</w:t>
      </w:r>
    </w:p>
    <w:p w14:paraId="5BEB3782">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应与发包方保持正常的业务交往，按照有关法律法规和程序开展业务工作，严格执行工程建设的有关方针、政策，执行工程建设强制性标准，并遵守以下规定：</w:t>
      </w:r>
    </w:p>
    <w:p w14:paraId="765CE2D3">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1.不得以任何理由向发包方及其工作人员索要、接受或赠送明显超出正常礼尚往来的礼品、礼金、运动健身卡及会所和俱乐部会员卡、高尔夫球卡等各种消费卡与有价证券、股权、其他金融产品等财物。</w:t>
      </w:r>
    </w:p>
    <w:p w14:paraId="69A5E590">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2.不得以任何理由为发包方和相关单位报销应由对方或个人支付的费用。</w:t>
      </w:r>
    </w:p>
    <w:p w14:paraId="315AE10A">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3.不得接受或暗示为发包方、相关单位或个人装修住房、婚丧嫁娶、配偶子女的工作安排以及出国(境)、旅游等提供方便。</w:t>
      </w:r>
    </w:p>
    <w:p w14:paraId="3DA0662A">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4.不得以任何理由为发包方、相关单位或个人组织有可能影响公正执行职务的宴请或者旅游、健身、娱乐等活动。</w:t>
      </w:r>
    </w:p>
    <w:p w14:paraId="6B4A40DC">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四、违约责任</w:t>
      </w:r>
    </w:p>
    <w:p w14:paraId="1F16BAFD">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发包方违反本协议的，在公司范围内通报批评且不列入当年评先评优；对影响公司发展大局、造成严重后果的，会同上级部门对责任人作出组织处理或党纪政纪处分；给承包方单位造成经济损失的，应予以赔偿；涉嫌犯罪的，移交司法机关追究刑事责任。</w:t>
      </w:r>
    </w:p>
    <w:p w14:paraId="7D54A54F">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2.本协议作为建设工程合同的组成部分，与建设工程合同具有同等法律效力，经双方签署后立即生效。</w:t>
      </w:r>
    </w:p>
    <w:p w14:paraId="2D6004FD">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五、协议有效期</w:t>
      </w:r>
    </w:p>
    <w:p w14:paraId="6B82ECF3">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本协议具有长期效力，不因工程项目竣工验收而失效,并对与工程项目有因果关系的前期贿赂行为亦具有追认和约束的效力。</w:t>
      </w:r>
    </w:p>
    <w:p w14:paraId="6F2F88EE">
      <w:pPr>
        <w:spacing w:line="500" w:lineRule="exact"/>
        <w:ind w:firstLine="480" w:firstLineChars="200"/>
        <w:rPr>
          <w:rFonts w:hint="eastAsia" w:ascii="宋体" w:hAnsi="宋体" w:eastAsia="宋体" w:cs="宋体"/>
          <w:color w:val="auto"/>
          <w:sz w:val="24"/>
          <w:szCs w:val="24"/>
        </w:rPr>
      </w:pPr>
    </w:p>
    <w:p w14:paraId="2D2B586E">
      <w:pPr>
        <w:spacing w:line="500" w:lineRule="exact"/>
        <w:ind w:firstLine="480" w:firstLineChars="200"/>
        <w:rPr>
          <w:rFonts w:hint="eastAsia" w:ascii="宋体" w:hAnsi="宋体" w:eastAsia="宋体" w:cs="宋体"/>
          <w:color w:val="auto"/>
          <w:sz w:val="24"/>
          <w:szCs w:val="24"/>
        </w:rPr>
      </w:pPr>
    </w:p>
    <w:p w14:paraId="67B1A4FB">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发包方：(盖章)                       承包方：(盖章)</w:t>
      </w:r>
    </w:p>
    <w:p w14:paraId="7DF291BB">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法定地址：                          法定地址：</w:t>
      </w:r>
    </w:p>
    <w:p w14:paraId="3429012F">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法定代表人或其委托代理人：(签字)     法定代表人或其委托代理人： (签字)</w:t>
      </w:r>
    </w:p>
    <w:p w14:paraId="7925C4F5">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电话：                              电话：</w:t>
      </w:r>
    </w:p>
    <w:p w14:paraId="622AEE89">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传真：                              传真：</w:t>
      </w:r>
    </w:p>
    <w:p w14:paraId="5A38F281">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电子邮箱：                          电子邮箱：</w:t>
      </w:r>
    </w:p>
    <w:p w14:paraId="09060E09">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开户银行：                          开户银行：</w:t>
      </w:r>
    </w:p>
    <w:p w14:paraId="618A2CBC">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帐号：                              帐号：</w:t>
      </w:r>
    </w:p>
    <w:p w14:paraId="154F2BF9">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邮政编码：                          邮政编码：</w:t>
      </w:r>
    </w:p>
    <w:p w14:paraId="68451A84">
      <w:pPr>
        <w:adjustRightInd w:val="0"/>
        <w:snapToGrid w:val="0"/>
        <w:spacing w:line="360" w:lineRule="auto"/>
        <w:jc w:val="center"/>
        <w:rPr>
          <w:rFonts w:hint="eastAsia" w:ascii="宋体" w:hAnsi="宋体" w:eastAsia="宋体" w:cs="宋体"/>
          <w:b/>
          <w:color w:val="auto"/>
          <w:sz w:val="24"/>
          <w:szCs w:val="24"/>
        </w:rPr>
      </w:pPr>
    </w:p>
    <w:p w14:paraId="69E69EC1">
      <w:pPr>
        <w:rPr>
          <w:rFonts w:hint="eastAsia" w:ascii="宋体" w:hAnsi="宋体" w:eastAsia="宋体" w:cs="宋体"/>
          <w:color w:val="auto"/>
          <w:sz w:val="24"/>
          <w:szCs w:val="24"/>
        </w:rPr>
      </w:pPr>
    </w:p>
    <w:p w14:paraId="0887FFBF">
      <w:pPr>
        <w:adjustRightInd w:val="0"/>
        <w:snapToGrid w:val="0"/>
        <w:spacing w:line="360" w:lineRule="auto"/>
        <w:jc w:val="center"/>
        <w:rPr>
          <w:rFonts w:hint="eastAsia" w:ascii="宋体" w:hAnsi="宋体" w:eastAsia="宋体" w:cs="宋体"/>
          <w:b/>
          <w:color w:val="auto"/>
          <w:sz w:val="24"/>
          <w:szCs w:val="24"/>
        </w:rPr>
      </w:pPr>
    </w:p>
    <w:p w14:paraId="4B3F3963">
      <w:pPr>
        <w:rPr>
          <w:rFonts w:hint="eastAsia" w:ascii="宋体" w:hAnsi="宋体" w:eastAsia="宋体" w:cs="宋体"/>
          <w:color w:val="auto"/>
          <w:sz w:val="24"/>
          <w:szCs w:val="24"/>
        </w:rPr>
      </w:pPr>
    </w:p>
    <w:p w14:paraId="38152665">
      <w:pPr>
        <w:rPr>
          <w:rFonts w:hint="eastAsia" w:ascii="宋体" w:hAnsi="宋体" w:eastAsia="宋体" w:cs="宋体"/>
          <w:color w:val="auto"/>
          <w:sz w:val="24"/>
          <w:szCs w:val="24"/>
        </w:rPr>
      </w:pPr>
    </w:p>
    <w:p w14:paraId="2D350B3A">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br w:type="page"/>
      </w:r>
      <w:r>
        <w:rPr>
          <w:rFonts w:hint="eastAsia" w:ascii="宋体" w:hAnsi="宋体" w:eastAsia="宋体" w:cs="宋体"/>
          <w:color w:val="auto"/>
          <w:sz w:val="24"/>
          <w:szCs w:val="24"/>
        </w:rPr>
        <w:t xml:space="preserve">附件3 </w:t>
      </w:r>
      <w:bookmarkStart w:id="514" w:name="_Toc510530394"/>
    </w:p>
    <w:p w14:paraId="0A8DFA45">
      <w:pPr>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施工安全管理协议书</w:t>
      </w:r>
      <w:bookmarkEnd w:id="514"/>
    </w:p>
    <w:p w14:paraId="2D6BD44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480" w:firstLineChars="200"/>
        <w:jc w:val="left"/>
        <w:rPr>
          <w:rFonts w:hint="eastAsia" w:ascii="宋体" w:hAnsi="宋体" w:eastAsia="宋体" w:cs="宋体"/>
          <w:b/>
          <w:color w:val="auto"/>
          <w:kern w:val="0"/>
          <w:sz w:val="24"/>
          <w:szCs w:val="24"/>
        </w:rPr>
      </w:pPr>
      <w:r>
        <w:rPr>
          <w:rFonts w:hint="eastAsia" w:ascii="宋体" w:hAnsi="宋体" w:eastAsia="宋体" w:cs="宋体"/>
          <w:color w:val="auto"/>
          <w:kern w:val="0"/>
          <w:sz w:val="24"/>
          <w:szCs w:val="24"/>
        </w:rPr>
        <w:t>发包人（简称甲方）：</w:t>
      </w:r>
    </w:p>
    <w:p w14:paraId="3FF9D8B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xml:space="preserve">承包人（简称乙方）：      </w:t>
      </w:r>
    </w:p>
    <w:p w14:paraId="12E3F01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480" w:firstLineChars="200"/>
        <w:jc w:val="left"/>
        <w:rPr>
          <w:rFonts w:hint="eastAsia" w:ascii="宋体" w:hAnsi="宋体" w:eastAsia="宋体" w:cs="宋体"/>
          <w:b/>
          <w:color w:val="auto"/>
          <w:kern w:val="0"/>
          <w:sz w:val="24"/>
          <w:szCs w:val="24"/>
        </w:rPr>
      </w:pPr>
      <w:r>
        <w:rPr>
          <w:rFonts w:hint="eastAsia" w:ascii="宋体" w:hAnsi="宋体" w:eastAsia="宋体" w:cs="宋体"/>
          <w:color w:val="auto"/>
          <w:kern w:val="0"/>
          <w:sz w:val="24"/>
          <w:szCs w:val="24"/>
        </w:rPr>
        <w:t>工  程  名  称：</w:t>
      </w:r>
      <w:r>
        <w:rPr>
          <w:rFonts w:hint="eastAsia" w:ascii="宋体" w:hAnsi="宋体" w:eastAsia="宋体" w:cs="宋体"/>
          <w:b/>
          <w:color w:val="auto"/>
          <w:kern w:val="0"/>
          <w:sz w:val="24"/>
          <w:szCs w:val="24"/>
        </w:rPr>
        <w:t xml:space="preserve">  </w:t>
      </w:r>
    </w:p>
    <w:p w14:paraId="1AFA80A0">
      <w:pPr>
        <w:spacing w:line="460" w:lineRule="exact"/>
        <w:ind w:firstLine="480" w:firstLineChars="200"/>
        <w:jc w:val="left"/>
        <w:rPr>
          <w:rFonts w:hint="eastAsia" w:ascii="宋体" w:hAnsi="宋体" w:eastAsia="宋体" w:cs="宋体"/>
          <w:color w:val="auto"/>
          <w:sz w:val="24"/>
          <w:szCs w:val="24"/>
        </w:rPr>
      </w:pPr>
    </w:p>
    <w:p w14:paraId="5B09902D">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为了进一步贯彻落实“安全第一、预防为主”的</w:t>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"http://zhidao.baidu.com/search?word=%E5%AE%89%E5%85%A8%E7%94%9F%E4%BA%A7%E6%96%B9%E9%92%88&amp;fr=qb_search_exp&amp;ie=utf8" \t "_blank"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安全生产方针</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t>，严格执行</w:t>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"http://zhidao.baidu.com/search?word=%E5%8A%B3%E5%8A%A8%E4%BF%9D%E6%8A%A4&amp;fr=qb_search_exp&amp;ie=utf8" \t "_blank"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劳动保护</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t>和</w:t>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"http://zhidao.baidu.com/search?word=%E5%AE%89%E5%85%A8%E7%94%9F%E4%BA%A7&amp;fr=qb_search_exp&amp;ie=utf8" \t "_blank"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安全生产</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t>的法令、法规，强化</w:t>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"http://zhidao.baidu.com/search?word=%E5%AE%89%E5%85%A8%E7%94%9F%E4%BA%A7%E7%AE%A1%E7%90%86&amp;fr=qb_search_exp&amp;ie=utf8" \t "_blank"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安全生产管理</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t>，落实</w:t>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"http://zhidao.baidu.com/search?word=%E5%AE%89%E5%85%A8%E7%94%9F%E4%BA%A7%E8%B4%A3%E4%BB%BB%E5%88%B6&amp;fr=qb_search_exp&amp;ie=utf8" \t "_blank"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安全生产责任制</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t>。依法从严治理施工现场，确保施工现场操作人员的安全与健康，促进施工顺利进行。经甲乙双方协商，一致同意签订本施工现场安全生产协议。本协议为工程合同补充条款，与工程合同具有同等法律效力，双方应认真履行。</w:t>
      </w:r>
    </w:p>
    <w:p w14:paraId="619C9649">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一、乙方管理目标</w:t>
      </w:r>
    </w:p>
    <w:p w14:paraId="0A55892D">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1、杜绝重大安全事故发生，死亡事故为零。</w:t>
      </w:r>
    </w:p>
    <w:p w14:paraId="39D0D2AE">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2、重伤事故频率控制为零。</w:t>
      </w:r>
    </w:p>
    <w:p w14:paraId="6A986EDF">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3、施工现场内的安全隐患整改率达到100%。</w:t>
      </w:r>
    </w:p>
    <w:p w14:paraId="23BC7AD4">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4、施工现场内不发生火灾事故、治安事件，防范措施达到100%。</w:t>
      </w:r>
    </w:p>
    <w:p w14:paraId="4ABEE093">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5、保证作业人员佩戴防护用品，高空作业、临时电、动火作业等危险作业防护措施达到100%。</w:t>
      </w:r>
    </w:p>
    <w:p w14:paraId="1E689832">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6、职工消防、安全生产培训率达到100%，特种设备操作人员和特种作业人员须持有效上岗证上岗达到100%。</w:t>
      </w:r>
    </w:p>
    <w:p w14:paraId="05462E85">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7、重大危险源控制率达到100%。</w:t>
      </w:r>
    </w:p>
    <w:p w14:paraId="355F4E1A">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8、施工现场内不发生危险品中毒、食物中毒以及群发性传染病。</w:t>
      </w:r>
    </w:p>
    <w:p w14:paraId="5712A335">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9、创建文明安全施工工地。</w:t>
      </w:r>
    </w:p>
    <w:p w14:paraId="06CDEC4E">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二、</w:t>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"http://zhidao.baidu.com/search?word=%E5%AE%89%E5%85%A8%E7%94%9F%E4%BA%A7&amp;fr=qb_search_exp&amp;ie=utf8" \t "_blank"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安全生产</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t>要求</w:t>
      </w:r>
    </w:p>
    <w:p w14:paraId="55A57D09">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乙方应坚持“安全第一、预防为主”的方针，不得违章指挥和违章作业，在组织施工生产时必须落实安全技术措施，防止事故发生。对本单位的施工人员应登记造册，如实向甲方报告，切实做好入场前的三级安全教育，建立三级安全教育卡，组织消防实操培训。负责班前班后安全教育和工种变换的安全教育，不得录用无身份证的人员和未满十六岁未成人。</w:t>
      </w:r>
    </w:p>
    <w:p w14:paraId="7494D563">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乙方应成立施工现场安全生产领导机构，定期召开安全工作会议，建立、健全安全生产责任制和群防群治制度，制定各项安全生产规章和安全生产目标责任，形成一体化的安全生产监督管理体系，并按照职责分工抓好落实。</w:t>
      </w:r>
    </w:p>
    <w:p w14:paraId="52BEBBBC">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3、乙方必须虚心接受甲方的各项安全隐患排查、安全管理标准及整改规定，建立自身的定期和不定期的安全生产自查排查机制，并且严格贯彻实施，否则造成的罚款等损失均由乙方承担。</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t xml:space="preserve">    4、乙方必须采取一切严密的、符合安全标准的预防措施，确保所有施工场所的安全，不得存在危及本公司及其他施工方人员的</w:t>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"http://zhidao.baidu.com/search?word=%E4%BA%BA%E8%BA%AB%E5%AE%89%E5%85%A8&amp;fr=qb_search_exp&amp;ie=utf8" \t "_blank"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人身安全</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t xml:space="preserve">和健康，并保证施工现场所有人员或附近人员免遭施工现场可能发生的一切危险。否则造成的一切后果由乙方负责。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t xml:space="preserve">    5、施工现场和施工人员的操作场所，必须严格按国家、政府规定的安全生产、文明施工标准做好防护工作，保证施工人员有安全可靠、卫生的工作环境。对不符合安全规定、违章操作的，甲方或监理单位有权要求停工和强行整改使之达到安全标准，所须费用从乙方单位工程款中扣除。</w:t>
      </w:r>
    </w:p>
    <w:p w14:paraId="5E40FE0D">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6、对电气焊等特种作业人员应持上岗，并坚持现场检查验收制度，禁止非特种作业人员从事特种作业。</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t xml:space="preserve">    7、凡重要的劳动防护用品，购买必须符合国家标准。如：安全帽、安全带、安全网、漏电保护器、电焊机二次线保护器、配电箱、电缆、脚手架扣件等。乙方应给现场施工人员提供必须的和有效的安全用品，由于乙方防护用品不符合要求或安全防护用具不到位，所造成的安全责任事故均有乙方自行负责。</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t xml:space="preserve">    8、乙方必须指定至少一名合格的且有经验的安全人员负责安全生产检查和防护措施落实，并配合甲方安全管理人员共同抓好安全工作。</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t xml:space="preserve">    9、乙方应严格按照甲方的消防安全管理制度以及施工现场的特殊要求组织施工，并接受甲方的安全检查。对甲方或监理单位所签发的隐患整改通知，乙方应在甲方指定的期限内立即整改完毕，逾期不改或整改不符合要求的，甲方或监理单位有权按规定对乙方进行经济处罚。</w:t>
      </w:r>
    </w:p>
    <w:p w14:paraId="134F9889">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10、发生事故应立即釆取措施，保护现场，抢救伤员，防止事故扩大，并及时报告甲方和上级主管部门，组织事故调查小组，查清事故原因，确定事故责任，按照“四不放过” 原则制定改进措施，提出对事故责任者的处理意见。</w:t>
      </w:r>
    </w:p>
    <w:p w14:paraId="61F17F82">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11、乙方因管理不善以及自身防范措施不力或施工人员责任造成的火灾、交通，人身伤亡等灾害事故。事故经济责任、事故法律责任以及事故的善后处理均由乙方独自承担。因此给甲方造成的经济损失由乙方负责赔偿。</w:t>
      </w:r>
    </w:p>
    <w:p w14:paraId="2F63B270">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12、设置必要的职工生活设施，并符合卫生、通风、照明等要求。职员的膳食、饮水符合卫生要求，由于乙方管理不到位，所造成安全责任事故均有乙方自行负责。</w:t>
      </w:r>
    </w:p>
    <w:p w14:paraId="15440136">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13、所进入施工现场的化学品、易燃易爆等危险品，必须经门卫进行登记，仓库储存须有专人负责保管。由于乙方管理不到位，所造成安全事故均有乙方自行负责。</w:t>
      </w:r>
    </w:p>
    <w:p w14:paraId="57388C6B">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14、施工现场需动用明火时要按照规定严格执行动火审批制度，临时动火时要做到“五有” ：有动火证、有防火责任人、有安全监护人、有足够的消防器材、有可靠的安全措施。因乙方未按规定程序要求操作，所造成安全事故均有乙方自行负责。</w:t>
      </w:r>
    </w:p>
    <w:p w14:paraId="76461C1F">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15、施工现场临时用电必须由现场专业电工统一接线，其他人员不得私自搭接临时电线，否则发生一切后果由乙方负责。</w:t>
      </w:r>
    </w:p>
    <w:p w14:paraId="3585CFAE">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三、处  罚 </w:t>
      </w:r>
    </w:p>
    <w:p w14:paraId="0DFEE994">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乙方应认真接受甲方和监理单位对安全生产、文明施工的监督管理。凡安全隐患问题屡教不改的或整改措施不力的，每项每次对施工单位处于500一50000元以下的罚款，对施工方负责人及当事人给予经济处罚，处罚金额也从工程款中扣除，乙方对此无异议；如因乙方管理责任或操作人员违反操作规范、规程发生人员伤亡事故或建设工地发生火灾事故，对施工单位处2一30万以下罚款，从工程款中扣除，对施工负责人及当事人给予经济处罚，处罚金额也从工程款中扣除，乙方对此无异议。</w:t>
      </w:r>
    </w:p>
    <w:p w14:paraId="3E4B651C">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四、其  他</w:t>
      </w:r>
    </w:p>
    <w:p w14:paraId="64FDDBB6">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本协议有效期自双方签字或盖章之日起至施工结束退场完毕时终止。</w:t>
      </w:r>
    </w:p>
    <w:p w14:paraId="06344C91">
      <w:pPr>
        <w:spacing w:line="360" w:lineRule="auto"/>
        <w:ind w:firstLine="480" w:firstLineChars="200"/>
        <w:jc w:val="left"/>
        <w:rPr>
          <w:rFonts w:hint="eastAsia" w:ascii="宋体" w:hAnsi="宋体" w:eastAsia="宋体" w:cs="宋体"/>
          <w:color w:val="auto"/>
          <w:sz w:val="24"/>
          <w:szCs w:val="24"/>
        </w:rPr>
      </w:pPr>
    </w:p>
    <w:p w14:paraId="0C7286FE">
      <w:pPr>
        <w:spacing w:line="360" w:lineRule="auto"/>
        <w:ind w:firstLine="480" w:firstLineChars="200"/>
        <w:jc w:val="left"/>
        <w:rPr>
          <w:rFonts w:hint="eastAsia" w:ascii="宋体" w:hAnsi="宋体" w:eastAsia="宋体" w:cs="宋体"/>
          <w:color w:val="auto"/>
          <w:sz w:val="24"/>
          <w:szCs w:val="24"/>
        </w:rPr>
      </w:pPr>
    </w:p>
    <w:p w14:paraId="41D98FF2">
      <w:pPr>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甲方：（盖章）                     乙方：（盖章）</w:t>
      </w:r>
    </w:p>
    <w:p w14:paraId="3032761E">
      <w:pPr>
        <w:spacing w:line="360" w:lineRule="auto"/>
        <w:ind w:firstLine="480" w:firstLineChars="200"/>
        <w:jc w:val="left"/>
        <w:rPr>
          <w:rFonts w:hint="eastAsia" w:ascii="宋体" w:hAnsi="宋体" w:eastAsia="宋体" w:cs="宋体"/>
          <w:color w:val="auto"/>
          <w:sz w:val="24"/>
          <w:szCs w:val="24"/>
        </w:rPr>
      </w:pPr>
    </w:p>
    <w:p w14:paraId="0BA5671B">
      <w:pPr>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代表签字：                        代表签字：</w:t>
      </w:r>
    </w:p>
    <w:p w14:paraId="3A01DCE9">
      <w:pPr>
        <w:spacing w:line="360" w:lineRule="auto"/>
        <w:ind w:firstLine="480" w:firstLineChars="200"/>
        <w:jc w:val="left"/>
        <w:rPr>
          <w:rFonts w:hint="eastAsia" w:ascii="宋体" w:hAnsi="宋体" w:eastAsia="宋体" w:cs="宋体"/>
          <w:color w:val="auto"/>
          <w:sz w:val="24"/>
          <w:szCs w:val="24"/>
        </w:rPr>
      </w:pPr>
    </w:p>
    <w:p w14:paraId="08551F38">
      <w:pPr>
        <w:widowControl/>
        <w:snapToGrid w:val="0"/>
        <w:spacing w:line="360" w:lineRule="auto"/>
        <w:ind w:firstLine="120" w:firstLineChars="5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日期：   年  月  日               日期：  年  月  日</w:t>
      </w:r>
      <w:r>
        <w:rPr>
          <w:rFonts w:hint="eastAsia" w:ascii="宋体" w:hAnsi="宋体" w:eastAsia="宋体" w:cs="宋体"/>
          <w:color w:val="auto"/>
          <w:sz w:val="24"/>
          <w:szCs w:val="24"/>
        </w:rPr>
        <w:br w:type="page"/>
      </w:r>
      <w:r>
        <w:rPr>
          <w:rFonts w:hint="eastAsia" w:ascii="宋体" w:hAnsi="宋体" w:eastAsia="宋体" w:cs="宋体"/>
          <w:color w:val="auto"/>
          <w:sz w:val="24"/>
          <w:szCs w:val="24"/>
        </w:rPr>
        <w:t>附件4：</w:t>
      </w:r>
    </w:p>
    <w:p w14:paraId="0E9642FB">
      <w:pPr>
        <w:spacing w:line="360" w:lineRule="auto"/>
        <w:ind w:firstLine="482" w:firstLineChars="200"/>
        <w:jc w:val="center"/>
        <w:rPr>
          <w:rFonts w:hint="eastAsia" w:ascii="宋体" w:hAnsi="宋体" w:eastAsia="宋体" w:cs="宋体"/>
          <w:color w:val="auto"/>
          <w:sz w:val="24"/>
          <w:szCs w:val="24"/>
        </w:rPr>
      </w:pPr>
      <w:r>
        <w:rPr>
          <w:rFonts w:hint="eastAsia" w:ascii="宋体" w:hAnsi="宋体" w:eastAsia="宋体" w:cs="宋体"/>
          <w:b/>
          <w:color w:val="auto"/>
          <w:kern w:val="0"/>
          <w:sz w:val="24"/>
          <w:szCs w:val="24"/>
        </w:rPr>
        <w:t>扬尘防控协议</w:t>
      </w:r>
    </w:p>
    <w:p w14:paraId="05BC705B">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为进一步加强扬尘污染防治工作，切实提升环境空气质量，有力提升全区在建工地文明施工水平，根据南通市政府2020年第6号政府令《南通市市区扬尘污染防治管理办法》、市政府办公室《市区扬尘整治“654”专项行动方案》（通政传发〔2020〕39 号）和市、区主管部门关于扬尘防控相关文件精神，结合我区施工现场实际，特签订此协议书。</w:t>
      </w:r>
    </w:p>
    <w:p w14:paraId="02D9E2BE">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一：责任对象</w:t>
      </w:r>
    </w:p>
    <w:p w14:paraId="76D2A9BB">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责任单位：我区在建项目的建设单位、监理单位、施工单位</w:t>
      </w:r>
    </w:p>
    <w:p w14:paraId="1316DFA9">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二：责任明细</w:t>
      </w:r>
    </w:p>
    <w:p w14:paraId="4914B90B">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1.建设单位应当承担施工扬尘的污染防治责任，明确扬尘管控责任人，专项列支扬尘污染防治费用，将扬尘管控要求纳入施工合同管理，对施工单位、监理单位扬尘管控的落实情况进行督促、检查。 </w:t>
      </w:r>
    </w:p>
    <w:p w14:paraId="3E5FC7FB">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2.建设工程总承包单位应对施工现场的环境与卫生负总责，分包单位应服从总承包单位的管理。工程项目部应建立健全扬尘防治责任制，确保人材物到位；编制扬尘防治专项方案，严格施工过程扬尘防治措施；落实扬尘防治交底，规范施工作业行为；加强扬尘防治检查，确保扬尘防治措施落到实处；认真开展防尘教育培训、晨会、技术交底，提升人员防尘意识正常有效；建立扬尘预警响应机制，确保特殊气候条件扬尘管控。参建单位及现场人员有维护施工现场环境与卫生的责任和义务。 </w:t>
      </w:r>
    </w:p>
    <w:p w14:paraId="47ED9DE0">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3.监理单位应当根据工程建设单位的委托，监督施工单位落实扬尘治理工作方案，督促施工单位落实各项扬尘防控措施，发现施工现场扬尘污染的，应当要求施工单位整改，并及时报告建设单位，施工单位拒不整治的，监理单位应及报告建设行政主管部门。 </w:t>
      </w:r>
    </w:p>
    <w:p w14:paraId="17CE2DAA">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4.施工现场严格落实扬尘防控措施，做到工地周边围挡、渣土车密闭运输、出入工地车辆清洗、施工工地内部道路硬化、土方开挖湿法作业以及物料堆放覆盖“六个百分百”。 </w:t>
      </w:r>
    </w:p>
    <w:p w14:paraId="77FFA7F4">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三、重点内容</w:t>
      </w:r>
    </w:p>
    <w:p w14:paraId="55F3CB73">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1.台账资料： </w:t>
      </w:r>
    </w:p>
    <w:p w14:paraId="438B5458">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（1）将扬尘污染防治措施纳入施工、运输、监理合同管理； </w:t>
      </w:r>
    </w:p>
    <w:p w14:paraId="6BB6FC7A">
      <w:pPr>
        <w:spacing w:line="42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（2）将扬尘费用列入工程造价，在招标时作为不可竞争费用计入安全文明施工措施费； </w:t>
      </w:r>
    </w:p>
    <w:p w14:paraId="1DCB0ED4">
      <w:pPr>
        <w:spacing w:line="42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（3）有系统完整的扬尘污染防治方案； </w:t>
      </w:r>
    </w:p>
    <w:p w14:paraId="531BE038">
      <w:pPr>
        <w:spacing w:line="42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（4）建设、施工、监理单位签署扬尘防控承诺书。 </w:t>
      </w:r>
    </w:p>
    <w:p w14:paraId="4F257A45">
      <w:pPr>
        <w:spacing w:line="42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2.现场情况： </w:t>
      </w:r>
    </w:p>
    <w:p w14:paraId="37504100">
      <w:pPr>
        <w:spacing w:line="42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（1）认真开展防尘教育培训、晨会技术交底正常有效； </w:t>
      </w:r>
    </w:p>
    <w:p w14:paraId="2C0FB09F">
      <w:pPr>
        <w:spacing w:line="42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（2）工地周边全封闭围挡，围挡下方设置防溢座（不低于20cm）； </w:t>
      </w:r>
    </w:p>
    <w:p w14:paraId="7FDA923A">
      <w:pPr>
        <w:spacing w:line="42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（3）对易干燥起尘的裸露场地和堆放的土方，采取覆盖、绿化等防尘措施。预拌砂浆、散装水泥等搅拌设备四周设置全封闭围挡； </w:t>
      </w:r>
    </w:p>
    <w:p w14:paraId="1407055C">
      <w:pPr>
        <w:spacing w:line="42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（4）喷淋系统、洒水车、高压喷雾炮等设备正常使用； </w:t>
      </w:r>
    </w:p>
    <w:p w14:paraId="11E05725">
      <w:pPr>
        <w:spacing w:line="42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（5）施工现场出入口、场内主要道路、主要操作场地以及生活、办公区主要道路必须进行硬化处理； </w:t>
      </w:r>
    </w:p>
    <w:p w14:paraId="21BE23AD">
      <w:pPr>
        <w:spacing w:line="42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（6）主出入口处设置成套定型化自动冲洗设施，配套排水沟和沉淀池。施工场地不具备设置条件的，配备高压水枪等简易冲洗装置。落实专人负责车辆、道路的冲洗，车辆冲洗台帐完善； </w:t>
      </w:r>
    </w:p>
    <w:p w14:paraId="00FE1D97">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（7）委托具有资质的运输企业负责渣土及建筑垃圾的运输与处置。运输车辆处于全密闭状态后驶出工地。 </w:t>
      </w:r>
    </w:p>
    <w:p w14:paraId="1385357D">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三、责任追究</w:t>
      </w:r>
    </w:p>
    <w:p w14:paraId="11A0B753">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强化现场、市场“两场联动”，将扬尘考评成绩作为企业信用评价、资质管理、评优评先的重要依据。在市区扬尘整治“654”专项行动期内因施工扬尘违法行为被处罚两次的，取消标准化星级工地和优质工程参评资格，并报请市主管部门暂停施工、监理单位在南通市工程投标资格半年。</w:t>
      </w:r>
    </w:p>
    <w:p w14:paraId="1EE4A52B">
      <w:pPr>
        <w:spacing w:line="460" w:lineRule="exact"/>
        <w:ind w:firstLine="480" w:firstLineChars="200"/>
        <w:jc w:val="left"/>
        <w:rPr>
          <w:rFonts w:hint="eastAsia" w:ascii="宋体" w:hAnsi="宋体" w:eastAsia="宋体" w:cs="宋体"/>
          <w:color w:val="auto"/>
          <w:sz w:val="24"/>
          <w:szCs w:val="24"/>
        </w:rPr>
      </w:pPr>
    </w:p>
    <w:p w14:paraId="3642780A">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责任单位：</w:t>
      </w:r>
    </w:p>
    <w:p w14:paraId="5369C64C">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建设单位（公章）                         项目负责人（签字）：</w:t>
      </w:r>
    </w:p>
    <w:p w14:paraId="2532FA86">
      <w:pPr>
        <w:spacing w:line="460" w:lineRule="exact"/>
        <w:ind w:firstLine="480" w:firstLineChars="200"/>
        <w:jc w:val="left"/>
        <w:rPr>
          <w:rFonts w:hint="eastAsia" w:ascii="宋体" w:hAnsi="宋体" w:eastAsia="宋体" w:cs="宋体"/>
          <w:color w:val="auto"/>
          <w:sz w:val="24"/>
          <w:szCs w:val="24"/>
        </w:rPr>
      </w:pPr>
    </w:p>
    <w:p w14:paraId="0BA9817F">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监理单位（公章）                         总  监（签字）：</w:t>
      </w:r>
    </w:p>
    <w:p w14:paraId="1B04CDFE">
      <w:pPr>
        <w:spacing w:line="460" w:lineRule="exact"/>
        <w:ind w:firstLine="480" w:firstLineChars="200"/>
        <w:jc w:val="left"/>
        <w:rPr>
          <w:rFonts w:hint="eastAsia" w:ascii="宋体" w:hAnsi="宋体" w:eastAsia="宋体" w:cs="宋体"/>
          <w:color w:val="auto"/>
          <w:sz w:val="24"/>
          <w:szCs w:val="24"/>
        </w:rPr>
      </w:pPr>
    </w:p>
    <w:p w14:paraId="038B2C43">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施工单位（公章）                         项目经理（签字）</w:t>
      </w:r>
    </w:p>
    <w:p w14:paraId="3742DB43">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年    月    日</w:t>
      </w:r>
    </w:p>
    <w:p w14:paraId="03444ECC">
      <w:pPr>
        <w:rPr>
          <w:rFonts w:hint="eastAsia" w:ascii="宋体" w:hAnsi="宋体" w:eastAsia="宋体" w:cs="宋体"/>
          <w:b/>
          <w:color w:val="auto"/>
          <w:sz w:val="24"/>
          <w:szCs w:val="24"/>
        </w:rPr>
      </w:pPr>
      <w:r>
        <w:rPr>
          <w:rFonts w:hint="eastAsia" w:ascii="宋体" w:hAnsi="宋体" w:eastAsia="宋体" w:cs="宋体"/>
          <w:b/>
          <w:color w:val="auto"/>
          <w:sz w:val="24"/>
          <w:szCs w:val="24"/>
        </w:rPr>
        <w:br w:type="page"/>
      </w:r>
    </w:p>
    <w:p w14:paraId="542076E9">
      <w:pPr>
        <w:spacing w:line="500" w:lineRule="exact"/>
        <w:ind w:firstLine="482" w:firstLineChars="200"/>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建筑施工扬尘防控承诺书</w:t>
      </w:r>
    </w:p>
    <w:p w14:paraId="7ABF9CE0">
      <w:pPr>
        <w:spacing w:line="500" w:lineRule="exact"/>
        <w:ind w:firstLine="482" w:firstLineChars="200"/>
        <w:jc w:val="center"/>
        <w:rPr>
          <w:rFonts w:hint="eastAsia" w:ascii="宋体" w:hAnsi="宋体" w:eastAsia="宋体" w:cs="宋体"/>
          <w:b/>
          <w:color w:val="auto"/>
          <w:sz w:val="24"/>
          <w:szCs w:val="24"/>
        </w:rPr>
      </w:pPr>
    </w:p>
    <w:p w14:paraId="4ABC2EF9">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作为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项目的项目经理，本人郑重承诺： </w:t>
      </w:r>
    </w:p>
    <w:p w14:paraId="6151B6CE">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严格落实市政府办公室《市区扬尘整治“654”专项行动方案》（通政传发〔2020〕39 号）要求，对照“654”专项行动告知书内容，落实企业主体责任，全面开展施工现场扬尘防控各项工作。如未正确履行扬尘防控主体责任，愿意承担一切法律责任后果。 </w:t>
      </w:r>
    </w:p>
    <w:p w14:paraId="678B0A97">
      <w:pPr>
        <w:spacing w:line="460" w:lineRule="exact"/>
        <w:ind w:firstLine="480" w:firstLineChars="200"/>
        <w:jc w:val="left"/>
        <w:rPr>
          <w:rFonts w:hint="eastAsia" w:ascii="宋体" w:hAnsi="宋体" w:eastAsia="宋体" w:cs="宋体"/>
          <w:color w:val="auto"/>
          <w:sz w:val="24"/>
          <w:szCs w:val="24"/>
        </w:rPr>
      </w:pPr>
    </w:p>
    <w:p w14:paraId="1C9AEF0C">
      <w:pPr>
        <w:spacing w:line="460" w:lineRule="exact"/>
        <w:ind w:firstLine="480" w:firstLineChars="200"/>
        <w:jc w:val="left"/>
        <w:rPr>
          <w:rFonts w:hint="eastAsia" w:ascii="宋体" w:hAnsi="宋体" w:eastAsia="宋体" w:cs="宋体"/>
          <w:color w:val="auto"/>
          <w:sz w:val="24"/>
          <w:szCs w:val="24"/>
        </w:rPr>
      </w:pPr>
    </w:p>
    <w:p w14:paraId="68F4D5B9">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承诺人(签字)：            承诺人所在单位(盖章) ：</w:t>
      </w:r>
    </w:p>
    <w:p w14:paraId="0006BEF4">
      <w:pPr>
        <w:spacing w:line="460" w:lineRule="exact"/>
        <w:ind w:firstLine="480" w:firstLineChars="200"/>
        <w:jc w:val="left"/>
        <w:rPr>
          <w:rFonts w:hint="eastAsia" w:ascii="宋体" w:hAnsi="宋体" w:eastAsia="宋体" w:cs="宋体"/>
          <w:color w:val="auto"/>
          <w:sz w:val="24"/>
          <w:szCs w:val="24"/>
        </w:rPr>
      </w:pPr>
    </w:p>
    <w:p w14:paraId="31934F90">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年   月    日</w:t>
      </w:r>
    </w:p>
    <w:p w14:paraId="5A92846F">
      <w:pPr>
        <w:spacing w:before="120" w:beforeLines="50" w:after="120" w:afterLines="50" w:line="460" w:lineRule="exact"/>
        <w:jc w:val="center"/>
        <w:rPr>
          <w:rFonts w:hint="eastAsia" w:ascii="宋体" w:hAnsi="宋体" w:eastAsia="宋体" w:cs="宋体"/>
          <w:b/>
          <w:color w:val="auto"/>
          <w:sz w:val="24"/>
          <w:szCs w:val="24"/>
        </w:rPr>
      </w:pPr>
    </w:p>
    <w:p w14:paraId="65A1959E">
      <w:pPr>
        <w:spacing w:before="120" w:beforeLines="50" w:after="120" w:afterLines="50" w:line="440" w:lineRule="exact"/>
        <w:jc w:val="center"/>
        <w:rPr>
          <w:rFonts w:hint="eastAsia" w:ascii="宋体" w:hAnsi="宋体" w:eastAsia="宋体" w:cs="宋体"/>
          <w:b/>
          <w:color w:val="auto"/>
          <w:sz w:val="24"/>
          <w:szCs w:val="24"/>
        </w:rPr>
      </w:pPr>
    </w:p>
    <w:p w14:paraId="349135EE">
      <w:pPr>
        <w:spacing w:before="120" w:beforeLines="50" w:after="120" w:afterLines="50" w:line="440" w:lineRule="exact"/>
        <w:jc w:val="center"/>
        <w:rPr>
          <w:rFonts w:hint="eastAsia" w:ascii="宋体" w:hAnsi="宋体" w:eastAsia="宋体" w:cs="宋体"/>
          <w:b/>
          <w:color w:val="auto"/>
          <w:sz w:val="24"/>
          <w:szCs w:val="24"/>
        </w:rPr>
      </w:pPr>
    </w:p>
    <w:p w14:paraId="35D4655A">
      <w:pPr>
        <w:spacing w:before="120" w:beforeLines="50" w:after="120" w:afterLines="50" w:line="440" w:lineRule="exact"/>
        <w:jc w:val="center"/>
        <w:rPr>
          <w:rFonts w:hint="eastAsia" w:ascii="宋体" w:hAnsi="宋体" w:eastAsia="宋体" w:cs="宋体"/>
          <w:b/>
          <w:color w:val="auto"/>
          <w:sz w:val="24"/>
          <w:szCs w:val="24"/>
        </w:rPr>
      </w:pPr>
    </w:p>
    <w:p w14:paraId="129EB558">
      <w:pPr>
        <w:spacing w:before="120" w:beforeLines="50" w:after="120" w:afterLines="50" w:line="440" w:lineRule="exact"/>
        <w:jc w:val="center"/>
        <w:rPr>
          <w:rFonts w:hint="eastAsia" w:ascii="宋体" w:hAnsi="宋体" w:eastAsia="宋体" w:cs="宋体"/>
          <w:b/>
          <w:color w:val="auto"/>
          <w:sz w:val="24"/>
          <w:szCs w:val="24"/>
        </w:rPr>
      </w:pPr>
    </w:p>
    <w:p w14:paraId="68791C25">
      <w:pPr>
        <w:pStyle w:val="20"/>
        <w:ind w:left="63" w:right="63"/>
        <w:rPr>
          <w:rFonts w:hint="eastAsia" w:ascii="宋体" w:hAnsi="宋体" w:eastAsia="宋体" w:cs="宋体"/>
          <w:color w:val="auto"/>
          <w:sz w:val="24"/>
          <w:szCs w:val="24"/>
        </w:rPr>
      </w:pPr>
    </w:p>
    <w:p w14:paraId="77C0882E">
      <w:pPr>
        <w:pStyle w:val="20"/>
        <w:ind w:left="63" w:right="63"/>
        <w:rPr>
          <w:rFonts w:hint="eastAsia" w:ascii="宋体" w:hAnsi="宋体" w:eastAsia="宋体" w:cs="宋体"/>
          <w:color w:val="auto"/>
          <w:sz w:val="24"/>
          <w:szCs w:val="24"/>
        </w:rPr>
      </w:pPr>
    </w:p>
    <w:p w14:paraId="2563F81A">
      <w:pPr>
        <w:pStyle w:val="20"/>
        <w:ind w:left="63" w:right="63"/>
        <w:rPr>
          <w:rFonts w:hint="eastAsia" w:ascii="宋体" w:hAnsi="宋体" w:eastAsia="宋体" w:cs="宋体"/>
          <w:color w:val="auto"/>
          <w:sz w:val="24"/>
          <w:szCs w:val="24"/>
        </w:rPr>
      </w:pPr>
    </w:p>
    <w:p w14:paraId="2B9FE391">
      <w:pPr>
        <w:pStyle w:val="20"/>
        <w:ind w:left="63" w:right="63"/>
        <w:rPr>
          <w:rFonts w:hint="eastAsia" w:ascii="宋体" w:hAnsi="宋体" w:eastAsia="宋体" w:cs="宋体"/>
          <w:color w:val="auto"/>
          <w:sz w:val="24"/>
          <w:szCs w:val="24"/>
        </w:rPr>
      </w:pPr>
    </w:p>
    <w:p w14:paraId="415665D7">
      <w:pPr>
        <w:spacing w:before="120" w:beforeLines="50" w:after="120" w:afterLines="50" w:line="440" w:lineRule="exact"/>
        <w:jc w:val="center"/>
        <w:rPr>
          <w:rFonts w:hint="eastAsia" w:ascii="宋体" w:hAnsi="宋体" w:eastAsia="宋体" w:cs="宋体"/>
          <w:b/>
          <w:color w:val="auto"/>
          <w:sz w:val="24"/>
          <w:szCs w:val="24"/>
        </w:rPr>
      </w:pPr>
    </w:p>
    <w:p w14:paraId="51DE6F81">
      <w:pPr>
        <w:spacing w:before="120" w:beforeLines="50" w:after="120" w:afterLines="50" w:line="440" w:lineRule="exact"/>
        <w:jc w:val="center"/>
        <w:rPr>
          <w:rFonts w:hint="eastAsia" w:ascii="宋体" w:hAnsi="宋体" w:eastAsia="宋体" w:cs="宋体"/>
          <w:b/>
          <w:color w:val="auto"/>
          <w:sz w:val="24"/>
          <w:szCs w:val="24"/>
        </w:rPr>
      </w:pPr>
    </w:p>
    <w:p w14:paraId="2BA438E4">
      <w:pPr>
        <w:spacing w:before="120" w:beforeLines="50" w:after="120" w:afterLines="50" w:line="440" w:lineRule="exact"/>
        <w:jc w:val="center"/>
        <w:rPr>
          <w:rFonts w:hint="eastAsia" w:ascii="宋体" w:hAnsi="宋体" w:eastAsia="宋体" w:cs="宋体"/>
          <w:b/>
          <w:color w:val="auto"/>
          <w:sz w:val="24"/>
          <w:szCs w:val="24"/>
        </w:rPr>
      </w:pPr>
    </w:p>
    <w:p w14:paraId="1199E650">
      <w:pPr>
        <w:spacing w:before="120" w:beforeLines="50" w:after="120" w:afterLines="50" w:line="440" w:lineRule="exact"/>
        <w:jc w:val="center"/>
        <w:rPr>
          <w:rFonts w:hint="eastAsia" w:ascii="宋体" w:hAnsi="宋体" w:eastAsia="宋体" w:cs="宋体"/>
          <w:b/>
          <w:color w:val="auto"/>
          <w:sz w:val="24"/>
          <w:szCs w:val="24"/>
        </w:rPr>
      </w:pPr>
    </w:p>
    <w:p w14:paraId="45CB0910">
      <w:pPr>
        <w:spacing w:before="120" w:beforeLines="50" w:after="120" w:afterLines="50" w:line="440" w:lineRule="exact"/>
        <w:jc w:val="center"/>
        <w:rPr>
          <w:rFonts w:hint="eastAsia" w:ascii="宋体" w:hAnsi="宋体" w:eastAsia="宋体" w:cs="宋体"/>
          <w:b/>
          <w:color w:val="auto"/>
          <w:sz w:val="24"/>
          <w:szCs w:val="24"/>
        </w:rPr>
      </w:pPr>
    </w:p>
    <w:p w14:paraId="2EEA8D7E">
      <w:pPr>
        <w:spacing w:before="120" w:beforeLines="50" w:after="120" w:afterLines="50" w:line="440" w:lineRule="exact"/>
        <w:jc w:val="center"/>
        <w:rPr>
          <w:rFonts w:hint="eastAsia" w:ascii="宋体" w:hAnsi="宋体" w:eastAsia="宋体" w:cs="宋体"/>
          <w:b/>
          <w:color w:val="auto"/>
          <w:sz w:val="24"/>
          <w:szCs w:val="24"/>
        </w:rPr>
      </w:pPr>
    </w:p>
    <w:p w14:paraId="13A20AF9">
      <w:pPr>
        <w:rPr>
          <w:rFonts w:hint="eastAsia" w:ascii="宋体" w:hAnsi="宋体" w:eastAsia="宋体" w:cs="宋体"/>
          <w:color w:val="auto"/>
          <w:sz w:val="24"/>
          <w:szCs w:val="24"/>
        </w:rPr>
      </w:pPr>
      <w:r>
        <w:rPr>
          <w:rFonts w:hint="eastAsia" w:ascii="宋体" w:hAnsi="宋体" w:eastAsia="宋体" w:cs="宋体"/>
          <w:color w:val="auto"/>
          <w:sz w:val="24"/>
          <w:szCs w:val="24"/>
        </w:rPr>
        <w:br w:type="page"/>
      </w:r>
    </w:p>
    <w:p w14:paraId="167B9DCA">
      <w:pPr>
        <w:spacing w:before="120" w:beforeLines="50" w:after="120" w:afterLines="50" w:line="44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附件5：</w:t>
      </w:r>
    </w:p>
    <w:p w14:paraId="7D0403D4">
      <w:pPr>
        <w:spacing w:before="120" w:beforeLines="50" w:after="120" w:afterLines="50" w:line="440" w:lineRule="exact"/>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 xml:space="preserve">     承包人用于本工程施工的机械设备表</w:t>
      </w:r>
    </w:p>
    <w:tbl>
      <w:tblPr>
        <w:tblStyle w:val="47"/>
        <w:tblW w:w="980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162"/>
        <w:gridCol w:w="1418"/>
        <w:gridCol w:w="850"/>
        <w:gridCol w:w="1058"/>
        <w:gridCol w:w="880"/>
        <w:gridCol w:w="1020"/>
        <w:gridCol w:w="1480"/>
        <w:gridCol w:w="1020"/>
        <w:gridCol w:w="921"/>
      </w:tblGrid>
      <w:tr w14:paraId="0D129F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162" w:type="dxa"/>
            <w:tcBorders>
              <w:top w:val="single" w:color="auto" w:sz="12" w:space="0"/>
              <w:bottom w:val="double" w:color="auto" w:sz="6" w:space="0"/>
            </w:tcBorders>
            <w:vAlign w:val="center"/>
          </w:tcPr>
          <w:p w14:paraId="4D61F0A2">
            <w:pPr>
              <w:keepNext/>
              <w:keepLines w:val="0"/>
              <w:suppressLineNumbers w:val="0"/>
              <w:spacing w:before="0" w:beforeAutospacing="0" w:after="0" w:afterAutospacing="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1418" w:type="dxa"/>
            <w:tcBorders>
              <w:top w:val="single" w:color="auto" w:sz="12" w:space="0"/>
              <w:bottom w:val="double" w:color="auto" w:sz="6" w:space="0"/>
            </w:tcBorders>
            <w:vAlign w:val="center"/>
          </w:tcPr>
          <w:p w14:paraId="202D1C0B">
            <w:pPr>
              <w:keepNext/>
              <w:keepLines w:val="0"/>
              <w:suppressLineNumbers w:val="0"/>
              <w:spacing w:before="0" w:beforeAutospacing="0" w:after="0" w:afterAutospacing="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机械或设备名称</w:t>
            </w:r>
          </w:p>
        </w:tc>
        <w:tc>
          <w:tcPr>
            <w:tcW w:w="850" w:type="dxa"/>
            <w:tcBorders>
              <w:top w:val="single" w:color="auto" w:sz="12" w:space="0"/>
              <w:bottom w:val="double" w:color="auto" w:sz="6" w:space="0"/>
            </w:tcBorders>
            <w:vAlign w:val="center"/>
          </w:tcPr>
          <w:p w14:paraId="065DEA9F">
            <w:pPr>
              <w:keepNext/>
              <w:keepLines w:val="0"/>
              <w:suppressLineNumbers w:val="0"/>
              <w:spacing w:before="0" w:beforeAutospacing="0" w:after="0" w:afterAutospacing="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规格</w:t>
            </w:r>
          </w:p>
          <w:p w14:paraId="57CC2069">
            <w:pPr>
              <w:keepNext/>
              <w:keepLines w:val="0"/>
              <w:suppressLineNumbers w:val="0"/>
              <w:spacing w:before="0" w:beforeAutospacing="0" w:after="0" w:afterAutospacing="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型号</w:t>
            </w:r>
          </w:p>
        </w:tc>
        <w:tc>
          <w:tcPr>
            <w:tcW w:w="1058" w:type="dxa"/>
            <w:tcBorders>
              <w:top w:val="single" w:color="auto" w:sz="12" w:space="0"/>
              <w:bottom w:val="double" w:color="auto" w:sz="6" w:space="0"/>
            </w:tcBorders>
            <w:vAlign w:val="center"/>
          </w:tcPr>
          <w:p w14:paraId="2E862378">
            <w:pPr>
              <w:keepNext/>
              <w:keepLines w:val="0"/>
              <w:suppressLineNumbers w:val="0"/>
              <w:spacing w:before="0" w:beforeAutospacing="0" w:after="0" w:afterAutospacing="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数量</w:t>
            </w:r>
          </w:p>
        </w:tc>
        <w:tc>
          <w:tcPr>
            <w:tcW w:w="880" w:type="dxa"/>
            <w:tcBorders>
              <w:top w:val="single" w:color="auto" w:sz="12" w:space="0"/>
              <w:bottom w:val="double" w:color="auto" w:sz="6" w:space="0"/>
            </w:tcBorders>
            <w:vAlign w:val="center"/>
          </w:tcPr>
          <w:p w14:paraId="5C2F8CA9">
            <w:pPr>
              <w:keepNext/>
              <w:keepLines w:val="0"/>
              <w:suppressLineNumbers w:val="0"/>
              <w:spacing w:before="0" w:beforeAutospacing="0" w:after="0" w:afterAutospacing="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产地</w:t>
            </w:r>
          </w:p>
        </w:tc>
        <w:tc>
          <w:tcPr>
            <w:tcW w:w="1020" w:type="dxa"/>
            <w:tcBorders>
              <w:top w:val="single" w:color="auto" w:sz="12" w:space="0"/>
              <w:bottom w:val="double" w:color="auto" w:sz="6" w:space="0"/>
            </w:tcBorders>
            <w:vAlign w:val="center"/>
          </w:tcPr>
          <w:p w14:paraId="7A7C7827">
            <w:pPr>
              <w:keepNext/>
              <w:keepLines w:val="0"/>
              <w:suppressLineNumbers w:val="0"/>
              <w:spacing w:before="0" w:beforeAutospacing="0" w:after="0" w:afterAutospacing="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制造</w:t>
            </w:r>
          </w:p>
          <w:p w14:paraId="582C9BA9">
            <w:pPr>
              <w:keepNext/>
              <w:keepLines w:val="0"/>
              <w:suppressLineNumbers w:val="0"/>
              <w:spacing w:before="0" w:beforeAutospacing="0" w:after="0" w:afterAutospacing="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年份</w:t>
            </w:r>
          </w:p>
        </w:tc>
        <w:tc>
          <w:tcPr>
            <w:tcW w:w="1480" w:type="dxa"/>
            <w:tcBorders>
              <w:top w:val="single" w:color="auto" w:sz="12" w:space="0"/>
              <w:bottom w:val="double" w:color="auto" w:sz="6" w:space="0"/>
            </w:tcBorders>
            <w:vAlign w:val="center"/>
          </w:tcPr>
          <w:p w14:paraId="415D8E80">
            <w:pPr>
              <w:keepNext/>
              <w:keepLines w:val="0"/>
              <w:suppressLineNumbers w:val="0"/>
              <w:spacing w:before="0" w:beforeAutospacing="0" w:after="0" w:afterAutospacing="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额定功率(kW)</w:t>
            </w:r>
          </w:p>
        </w:tc>
        <w:tc>
          <w:tcPr>
            <w:tcW w:w="1020" w:type="dxa"/>
            <w:tcBorders>
              <w:top w:val="single" w:color="auto" w:sz="12" w:space="0"/>
              <w:bottom w:val="double" w:color="auto" w:sz="6" w:space="0"/>
            </w:tcBorders>
            <w:vAlign w:val="center"/>
          </w:tcPr>
          <w:p w14:paraId="7AC3720D">
            <w:pPr>
              <w:keepNext/>
              <w:keepLines w:val="0"/>
              <w:suppressLineNumbers w:val="0"/>
              <w:spacing w:before="0" w:beforeAutospacing="0" w:after="0" w:afterAutospacing="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生产</w:t>
            </w:r>
          </w:p>
          <w:p w14:paraId="287F4166">
            <w:pPr>
              <w:keepNext/>
              <w:keepLines w:val="0"/>
              <w:suppressLineNumbers w:val="0"/>
              <w:spacing w:before="0" w:beforeAutospacing="0" w:after="0" w:afterAutospacing="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能力</w:t>
            </w:r>
          </w:p>
        </w:tc>
        <w:tc>
          <w:tcPr>
            <w:tcW w:w="921" w:type="dxa"/>
            <w:tcBorders>
              <w:top w:val="single" w:color="auto" w:sz="12" w:space="0"/>
              <w:bottom w:val="double" w:color="auto" w:sz="6" w:space="0"/>
            </w:tcBorders>
            <w:vAlign w:val="center"/>
          </w:tcPr>
          <w:p w14:paraId="74AC66E7">
            <w:pPr>
              <w:keepNext/>
              <w:keepLines w:val="0"/>
              <w:suppressLineNumbers w:val="0"/>
              <w:spacing w:before="0" w:beforeAutospacing="0" w:after="0" w:afterAutospacing="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备注</w:t>
            </w:r>
          </w:p>
        </w:tc>
      </w:tr>
      <w:tr w14:paraId="29C34E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double" w:color="auto" w:sz="6" w:space="0"/>
            </w:tcBorders>
            <w:vAlign w:val="center"/>
          </w:tcPr>
          <w:p w14:paraId="2B91658B">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Borders>
              <w:top w:val="double" w:color="auto" w:sz="6" w:space="0"/>
            </w:tcBorders>
            <w:vAlign w:val="center"/>
          </w:tcPr>
          <w:p w14:paraId="26C23E4A">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0" w:type="dxa"/>
            <w:tcBorders>
              <w:top w:val="double" w:color="auto" w:sz="6" w:space="0"/>
            </w:tcBorders>
            <w:vAlign w:val="center"/>
          </w:tcPr>
          <w:p w14:paraId="7B042A90">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058" w:type="dxa"/>
            <w:tcBorders>
              <w:top w:val="double" w:color="auto" w:sz="6" w:space="0"/>
            </w:tcBorders>
            <w:vAlign w:val="center"/>
          </w:tcPr>
          <w:p w14:paraId="1831A1C0">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80" w:type="dxa"/>
            <w:tcBorders>
              <w:top w:val="double" w:color="auto" w:sz="6" w:space="0"/>
            </w:tcBorders>
            <w:vAlign w:val="center"/>
          </w:tcPr>
          <w:p w14:paraId="11408D50">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020" w:type="dxa"/>
            <w:tcBorders>
              <w:top w:val="double" w:color="auto" w:sz="6" w:space="0"/>
            </w:tcBorders>
            <w:vAlign w:val="center"/>
          </w:tcPr>
          <w:p w14:paraId="6FED8F25">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80" w:type="dxa"/>
            <w:tcBorders>
              <w:top w:val="double" w:color="auto" w:sz="6" w:space="0"/>
            </w:tcBorders>
            <w:vAlign w:val="center"/>
          </w:tcPr>
          <w:p w14:paraId="19ABB373">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020" w:type="dxa"/>
            <w:tcBorders>
              <w:top w:val="double" w:color="auto" w:sz="6" w:space="0"/>
            </w:tcBorders>
            <w:vAlign w:val="center"/>
          </w:tcPr>
          <w:p w14:paraId="670B99C6">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21" w:type="dxa"/>
            <w:tcBorders>
              <w:top w:val="double" w:color="auto" w:sz="6" w:space="0"/>
            </w:tcBorders>
            <w:vAlign w:val="center"/>
          </w:tcPr>
          <w:p w14:paraId="788BB53D">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1D9EED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nil"/>
            </w:tcBorders>
            <w:vAlign w:val="center"/>
          </w:tcPr>
          <w:p w14:paraId="0142227F">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Borders>
              <w:top w:val="nil"/>
            </w:tcBorders>
            <w:vAlign w:val="center"/>
          </w:tcPr>
          <w:p w14:paraId="1030CB5F">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0" w:type="dxa"/>
            <w:tcBorders>
              <w:top w:val="nil"/>
            </w:tcBorders>
            <w:vAlign w:val="center"/>
          </w:tcPr>
          <w:p w14:paraId="1F5FD71A">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058" w:type="dxa"/>
            <w:tcBorders>
              <w:top w:val="nil"/>
            </w:tcBorders>
            <w:vAlign w:val="center"/>
          </w:tcPr>
          <w:p w14:paraId="696E9164">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80" w:type="dxa"/>
            <w:tcBorders>
              <w:top w:val="nil"/>
            </w:tcBorders>
            <w:vAlign w:val="center"/>
          </w:tcPr>
          <w:p w14:paraId="4E720E99">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020" w:type="dxa"/>
            <w:tcBorders>
              <w:top w:val="nil"/>
            </w:tcBorders>
            <w:vAlign w:val="center"/>
          </w:tcPr>
          <w:p w14:paraId="4B56DDE4">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80" w:type="dxa"/>
            <w:tcBorders>
              <w:top w:val="nil"/>
            </w:tcBorders>
            <w:vAlign w:val="center"/>
          </w:tcPr>
          <w:p w14:paraId="436DEA65">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020" w:type="dxa"/>
            <w:tcBorders>
              <w:top w:val="nil"/>
            </w:tcBorders>
            <w:vAlign w:val="center"/>
          </w:tcPr>
          <w:p w14:paraId="173FEC9A">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21" w:type="dxa"/>
            <w:tcBorders>
              <w:top w:val="nil"/>
            </w:tcBorders>
            <w:vAlign w:val="center"/>
          </w:tcPr>
          <w:p w14:paraId="2A529BA0">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291DA0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3D038753">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vAlign w:val="center"/>
          </w:tcPr>
          <w:p w14:paraId="4D309149">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0" w:type="dxa"/>
            <w:vAlign w:val="center"/>
          </w:tcPr>
          <w:p w14:paraId="4D88DBE1">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058" w:type="dxa"/>
            <w:vAlign w:val="center"/>
          </w:tcPr>
          <w:p w14:paraId="6F51D256">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80" w:type="dxa"/>
            <w:vAlign w:val="center"/>
          </w:tcPr>
          <w:p w14:paraId="72DE16A4">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020" w:type="dxa"/>
            <w:vAlign w:val="center"/>
          </w:tcPr>
          <w:p w14:paraId="5490E49C">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80" w:type="dxa"/>
            <w:vAlign w:val="center"/>
          </w:tcPr>
          <w:p w14:paraId="0C0884D9">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020" w:type="dxa"/>
            <w:vAlign w:val="center"/>
          </w:tcPr>
          <w:p w14:paraId="43C1BC7A">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21" w:type="dxa"/>
            <w:vAlign w:val="center"/>
          </w:tcPr>
          <w:p w14:paraId="0073BD84">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2593AD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183A4FE6">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vAlign w:val="center"/>
          </w:tcPr>
          <w:p w14:paraId="43366E38">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0" w:type="dxa"/>
            <w:vAlign w:val="center"/>
          </w:tcPr>
          <w:p w14:paraId="264E36B0">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058" w:type="dxa"/>
            <w:vAlign w:val="center"/>
          </w:tcPr>
          <w:p w14:paraId="3F554540">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80" w:type="dxa"/>
            <w:vAlign w:val="center"/>
          </w:tcPr>
          <w:p w14:paraId="72A13598">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020" w:type="dxa"/>
            <w:vAlign w:val="center"/>
          </w:tcPr>
          <w:p w14:paraId="0F3D27BC">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80" w:type="dxa"/>
            <w:vAlign w:val="center"/>
          </w:tcPr>
          <w:p w14:paraId="04FCAD37">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020" w:type="dxa"/>
            <w:vAlign w:val="center"/>
          </w:tcPr>
          <w:p w14:paraId="7F14856A">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21" w:type="dxa"/>
            <w:vAlign w:val="center"/>
          </w:tcPr>
          <w:p w14:paraId="3919C328">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79CADD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61AA3E78">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vAlign w:val="center"/>
          </w:tcPr>
          <w:p w14:paraId="125D8657">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0" w:type="dxa"/>
            <w:vAlign w:val="center"/>
          </w:tcPr>
          <w:p w14:paraId="59029AF1">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058" w:type="dxa"/>
            <w:vAlign w:val="center"/>
          </w:tcPr>
          <w:p w14:paraId="5BFF182D">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80" w:type="dxa"/>
            <w:vAlign w:val="center"/>
          </w:tcPr>
          <w:p w14:paraId="02C2783F">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020" w:type="dxa"/>
            <w:vAlign w:val="center"/>
          </w:tcPr>
          <w:p w14:paraId="010AA6E4">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80" w:type="dxa"/>
            <w:vAlign w:val="center"/>
          </w:tcPr>
          <w:p w14:paraId="734A0AEB">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020" w:type="dxa"/>
            <w:vAlign w:val="center"/>
          </w:tcPr>
          <w:p w14:paraId="5829411C">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21" w:type="dxa"/>
            <w:vAlign w:val="center"/>
          </w:tcPr>
          <w:p w14:paraId="3C76EE8D">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75B6AB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5364A657">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vAlign w:val="center"/>
          </w:tcPr>
          <w:p w14:paraId="778E5D24">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0" w:type="dxa"/>
            <w:vAlign w:val="center"/>
          </w:tcPr>
          <w:p w14:paraId="4A3B2D24">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058" w:type="dxa"/>
            <w:vAlign w:val="center"/>
          </w:tcPr>
          <w:p w14:paraId="27B24063">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80" w:type="dxa"/>
            <w:vAlign w:val="center"/>
          </w:tcPr>
          <w:p w14:paraId="241D9DAB">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020" w:type="dxa"/>
            <w:vAlign w:val="center"/>
          </w:tcPr>
          <w:p w14:paraId="0DD465E2">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80" w:type="dxa"/>
            <w:vAlign w:val="center"/>
          </w:tcPr>
          <w:p w14:paraId="0E33CC8D">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020" w:type="dxa"/>
            <w:vAlign w:val="center"/>
          </w:tcPr>
          <w:p w14:paraId="602A611F">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21" w:type="dxa"/>
            <w:vAlign w:val="center"/>
          </w:tcPr>
          <w:p w14:paraId="3EF300F2">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17354B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61308318">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vAlign w:val="center"/>
          </w:tcPr>
          <w:p w14:paraId="7F647B95">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0" w:type="dxa"/>
            <w:vAlign w:val="center"/>
          </w:tcPr>
          <w:p w14:paraId="76419AEF">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058" w:type="dxa"/>
            <w:vAlign w:val="center"/>
          </w:tcPr>
          <w:p w14:paraId="62A55741">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80" w:type="dxa"/>
            <w:vAlign w:val="center"/>
          </w:tcPr>
          <w:p w14:paraId="7E5167B2">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020" w:type="dxa"/>
            <w:vAlign w:val="center"/>
          </w:tcPr>
          <w:p w14:paraId="0FBD461C">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80" w:type="dxa"/>
            <w:vAlign w:val="center"/>
          </w:tcPr>
          <w:p w14:paraId="1B47D1D3">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020" w:type="dxa"/>
            <w:vAlign w:val="center"/>
          </w:tcPr>
          <w:p w14:paraId="1FA18987">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21" w:type="dxa"/>
            <w:vAlign w:val="center"/>
          </w:tcPr>
          <w:p w14:paraId="1D828641">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5ED218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68F1EE7C">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vAlign w:val="center"/>
          </w:tcPr>
          <w:p w14:paraId="6E0A19DB">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0" w:type="dxa"/>
            <w:vAlign w:val="center"/>
          </w:tcPr>
          <w:p w14:paraId="6705EBA1">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058" w:type="dxa"/>
            <w:vAlign w:val="center"/>
          </w:tcPr>
          <w:p w14:paraId="6D39D339">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80" w:type="dxa"/>
            <w:vAlign w:val="center"/>
          </w:tcPr>
          <w:p w14:paraId="1CECEA1A">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020" w:type="dxa"/>
            <w:vAlign w:val="center"/>
          </w:tcPr>
          <w:p w14:paraId="6BCB9601">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80" w:type="dxa"/>
            <w:vAlign w:val="center"/>
          </w:tcPr>
          <w:p w14:paraId="6B86DA56">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020" w:type="dxa"/>
            <w:vAlign w:val="center"/>
          </w:tcPr>
          <w:p w14:paraId="52CBC5D7">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21" w:type="dxa"/>
            <w:vAlign w:val="center"/>
          </w:tcPr>
          <w:p w14:paraId="7581070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379841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6E051557">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418" w:type="dxa"/>
          </w:tcPr>
          <w:p w14:paraId="0975ADD8">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850" w:type="dxa"/>
          </w:tcPr>
          <w:p w14:paraId="40EF5235">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058" w:type="dxa"/>
          </w:tcPr>
          <w:p w14:paraId="495CAA7B">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880" w:type="dxa"/>
          </w:tcPr>
          <w:p w14:paraId="377A839B">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020" w:type="dxa"/>
          </w:tcPr>
          <w:p w14:paraId="29AEA4C4">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480" w:type="dxa"/>
          </w:tcPr>
          <w:p w14:paraId="24B3B25C">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020" w:type="dxa"/>
          </w:tcPr>
          <w:p w14:paraId="45C6A6E0">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921" w:type="dxa"/>
          </w:tcPr>
          <w:p w14:paraId="7EE86BAF">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r>
      <w:tr w14:paraId="68D6C7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6C0AC098">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vAlign w:val="center"/>
          </w:tcPr>
          <w:p w14:paraId="2F37BEB5">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0" w:type="dxa"/>
            <w:vAlign w:val="center"/>
          </w:tcPr>
          <w:p w14:paraId="0E0B046F">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058" w:type="dxa"/>
            <w:vAlign w:val="center"/>
          </w:tcPr>
          <w:p w14:paraId="016319BF">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80" w:type="dxa"/>
            <w:vAlign w:val="center"/>
          </w:tcPr>
          <w:p w14:paraId="37720F60">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020" w:type="dxa"/>
            <w:vAlign w:val="center"/>
          </w:tcPr>
          <w:p w14:paraId="06FE7763">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80" w:type="dxa"/>
            <w:vAlign w:val="center"/>
          </w:tcPr>
          <w:p w14:paraId="5E6F0603">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020" w:type="dxa"/>
            <w:vAlign w:val="center"/>
          </w:tcPr>
          <w:p w14:paraId="3D0934E7">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21" w:type="dxa"/>
            <w:vAlign w:val="center"/>
          </w:tcPr>
          <w:p w14:paraId="52184FF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517423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74912CA5">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418" w:type="dxa"/>
          </w:tcPr>
          <w:p w14:paraId="769446D8">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850" w:type="dxa"/>
          </w:tcPr>
          <w:p w14:paraId="75EEBCD5">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058" w:type="dxa"/>
          </w:tcPr>
          <w:p w14:paraId="7D4E6555">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880" w:type="dxa"/>
          </w:tcPr>
          <w:p w14:paraId="33BA7A81">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020" w:type="dxa"/>
          </w:tcPr>
          <w:p w14:paraId="30900B3B">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480" w:type="dxa"/>
          </w:tcPr>
          <w:p w14:paraId="66273DF3">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020" w:type="dxa"/>
          </w:tcPr>
          <w:p w14:paraId="2227B7EE">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921" w:type="dxa"/>
          </w:tcPr>
          <w:p w14:paraId="19F23429">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r>
      <w:tr w14:paraId="56A474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5AEEB257">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418" w:type="dxa"/>
          </w:tcPr>
          <w:p w14:paraId="56487006">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850" w:type="dxa"/>
          </w:tcPr>
          <w:p w14:paraId="1FC70BB9">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058" w:type="dxa"/>
          </w:tcPr>
          <w:p w14:paraId="128E56DD">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880" w:type="dxa"/>
          </w:tcPr>
          <w:p w14:paraId="4F2B6A6A">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020" w:type="dxa"/>
          </w:tcPr>
          <w:p w14:paraId="2C285A48">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480" w:type="dxa"/>
          </w:tcPr>
          <w:p w14:paraId="1B142CD7">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020" w:type="dxa"/>
          </w:tcPr>
          <w:p w14:paraId="533B3718">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921" w:type="dxa"/>
          </w:tcPr>
          <w:p w14:paraId="599B34D1">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r>
      <w:tr w14:paraId="2A12A2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2DAAB24E">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418" w:type="dxa"/>
          </w:tcPr>
          <w:p w14:paraId="73320FCD">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850" w:type="dxa"/>
          </w:tcPr>
          <w:p w14:paraId="46A3107C">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058" w:type="dxa"/>
          </w:tcPr>
          <w:p w14:paraId="54ED4A45">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880" w:type="dxa"/>
          </w:tcPr>
          <w:p w14:paraId="0F4C917F">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020" w:type="dxa"/>
          </w:tcPr>
          <w:p w14:paraId="6623CFAD">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480" w:type="dxa"/>
          </w:tcPr>
          <w:p w14:paraId="6913CDDD">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020" w:type="dxa"/>
          </w:tcPr>
          <w:p w14:paraId="52C19FA9">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921" w:type="dxa"/>
          </w:tcPr>
          <w:p w14:paraId="6D450EBF">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r>
      <w:tr w14:paraId="0177B9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6AEF9811">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418" w:type="dxa"/>
          </w:tcPr>
          <w:p w14:paraId="74FAD862">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850" w:type="dxa"/>
          </w:tcPr>
          <w:p w14:paraId="18A8330D">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058" w:type="dxa"/>
          </w:tcPr>
          <w:p w14:paraId="694B952C">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880" w:type="dxa"/>
          </w:tcPr>
          <w:p w14:paraId="0F8D2215">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020" w:type="dxa"/>
          </w:tcPr>
          <w:p w14:paraId="719E7A48">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480" w:type="dxa"/>
          </w:tcPr>
          <w:p w14:paraId="460CEFE7">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020" w:type="dxa"/>
          </w:tcPr>
          <w:p w14:paraId="2DA54E96">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921" w:type="dxa"/>
          </w:tcPr>
          <w:p w14:paraId="0F048004">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r>
      <w:tr w14:paraId="7BDFF0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7C0E7D98">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418" w:type="dxa"/>
          </w:tcPr>
          <w:p w14:paraId="32835690">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850" w:type="dxa"/>
          </w:tcPr>
          <w:p w14:paraId="7F252A30">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058" w:type="dxa"/>
          </w:tcPr>
          <w:p w14:paraId="592DA981">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880" w:type="dxa"/>
          </w:tcPr>
          <w:p w14:paraId="60A99FF8">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020" w:type="dxa"/>
          </w:tcPr>
          <w:p w14:paraId="10289A6C">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480" w:type="dxa"/>
          </w:tcPr>
          <w:p w14:paraId="30B5737D">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020" w:type="dxa"/>
          </w:tcPr>
          <w:p w14:paraId="258099C0">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921" w:type="dxa"/>
          </w:tcPr>
          <w:p w14:paraId="18A72BDE">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r>
      <w:tr w14:paraId="357524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51C58826">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418" w:type="dxa"/>
          </w:tcPr>
          <w:p w14:paraId="574781F8">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850" w:type="dxa"/>
          </w:tcPr>
          <w:p w14:paraId="22BB5014">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058" w:type="dxa"/>
          </w:tcPr>
          <w:p w14:paraId="46D86820">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880" w:type="dxa"/>
          </w:tcPr>
          <w:p w14:paraId="36E6A495">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020" w:type="dxa"/>
          </w:tcPr>
          <w:p w14:paraId="29A1E139">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480" w:type="dxa"/>
          </w:tcPr>
          <w:p w14:paraId="06DD99AB">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020" w:type="dxa"/>
          </w:tcPr>
          <w:p w14:paraId="529AFC40">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921" w:type="dxa"/>
          </w:tcPr>
          <w:p w14:paraId="587A6871">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r>
      <w:tr w14:paraId="6F0CDA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4CC1FC98">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418" w:type="dxa"/>
          </w:tcPr>
          <w:p w14:paraId="363FE5DC">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850" w:type="dxa"/>
          </w:tcPr>
          <w:p w14:paraId="033D69DF">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058" w:type="dxa"/>
          </w:tcPr>
          <w:p w14:paraId="0BDBA650">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880" w:type="dxa"/>
          </w:tcPr>
          <w:p w14:paraId="4E5E1841">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020" w:type="dxa"/>
          </w:tcPr>
          <w:p w14:paraId="692108C8">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480" w:type="dxa"/>
          </w:tcPr>
          <w:p w14:paraId="295E3264">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020" w:type="dxa"/>
          </w:tcPr>
          <w:p w14:paraId="6D0F2DAC">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921" w:type="dxa"/>
          </w:tcPr>
          <w:p w14:paraId="1B0367A8">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r>
      <w:tr w14:paraId="136046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30EC199E">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418" w:type="dxa"/>
          </w:tcPr>
          <w:p w14:paraId="26EE82D6">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850" w:type="dxa"/>
          </w:tcPr>
          <w:p w14:paraId="3438534A">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058" w:type="dxa"/>
          </w:tcPr>
          <w:p w14:paraId="76F3C15F">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880" w:type="dxa"/>
          </w:tcPr>
          <w:p w14:paraId="55CED142">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020" w:type="dxa"/>
          </w:tcPr>
          <w:p w14:paraId="210E0E56">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480" w:type="dxa"/>
          </w:tcPr>
          <w:p w14:paraId="045F48BC">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020" w:type="dxa"/>
          </w:tcPr>
          <w:p w14:paraId="152C48A9">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921" w:type="dxa"/>
          </w:tcPr>
          <w:p w14:paraId="5F1813EC">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r>
      <w:tr w14:paraId="471E52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bottom w:val="single" w:color="auto" w:sz="12" w:space="0"/>
            </w:tcBorders>
          </w:tcPr>
          <w:p w14:paraId="7B524E3F">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418" w:type="dxa"/>
            <w:tcBorders>
              <w:bottom w:val="single" w:color="auto" w:sz="12" w:space="0"/>
            </w:tcBorders>
          </w:tcPr>
          <w:p w14:paraId="37B0204F">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850" w:type="dxa"/>
            <w:tcBorders>
              <w:bottom w:val="single" w:color="auto" w:sz="12" w:space="0"/>
            </w:tcBorders>
          </w:tcPr>
          <w:p w14:paraId="394E3A30">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058" w:type="dxa"/>
            <w:tcBorders>
              <w:bottom w:val="single" w:color="auto" w:sz="12" w:space="0"/>
            </w:tcBorders>
          </w:tcPr>
          <w:p w14:paraId="3366D276">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880" w:type="dxa"/>
            <w:tcBorders>
              <w:bottom w:val="single" w:color="auto" w:sz="12" w:space="0"/>
            </w:tcBorders>
          </w:tcPr>
          <w:p w14:paraId="78405600">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020" w:type="dxa"/>
            <w:tcBorders>
              <w:bottom w:val="single" w:color="auto" w:sz="12" w:space="0"/>
            </w:tcBorders>
          </w:tcPr>
          <w:p w14:paraId="386F6A00">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480" w:type="dxa"/>
            <w:tcBorders>
              <w:bottom w:val="single" w:color="auto" w:sz="12" w:space="0"/>
            </w:tcBorders>
          </w:tcPr>
          <w:p w14:paraId="7FC40E72">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1020" w:type="dxa"/>
            <w:tcBorders>
              <w:bottom w:val="single" w:color="auto" w:sz="12" w:space="0"/>
            </w:tcBorders>
          </w:tcPr>
          <w:p w14:paraId="6C20AC1F">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c>
          <w:tcPr>
            <w:tcW w:w="921" w:type="dxa"/>
            <w:tcBorders>
              <w:bottom w:val="single" w:color="auto" w:sz="12" w:space="0"/>
            </w:tcBorders>
          </w:tcPr>
          <w:p w14:paraId="38F1BEDC">
            <w:pPr>
              <w:keepNext w:val="0"/>
              <w:keepLines w:val="0"/>
              <w:suppressLineNumbers w:val="0"/>
              <w:spacing w:before="0" w:beforeAutospacing="0" w:after="0" w:afterAutospacing="0"/>
              <w:ind w:left="0" w:right="0"/>
              <w:rPr>
                <w:rFonts w:hint="eastAsia" w:ascii="宋体" w:hAnsi="宋体" w:eastAsia="宋体" w:cs="宋体"/>
                <w:color w:val="auto"/>
                <w:sz w:val="24"/>
                <w:szCs w:val="24"/>
              </w:rPr>
            </w:pPr>
          </w:p>
        </w:tc>
      </w:tr>
    </w:tbl>
    <w:p w14:paraId="6933960A">
      <w:pPr>
        <w:spacing w:line="440" w:lineRule="exact"/>
        <w:rPr>
          <w:rFonts w:hint="eastAsia" w:ascii="宋体" w:hAnsi="宋体" w:eastAsia="宋体" w:cs="宋体"/>
          <w:color w:val="auto"/>
          <w:sz w:val="24"/>
          <w:szCs w:val="24"/>
        </w:rPr>
      </w:pPr>
    </w:p>
    <w:p w14:paraId="0105901A">
      <w:pPr>
        <w:rPr>
          <w:rFonts w:hint="eastAsia" w:ascii="宋体" w:hAnsi="宋体" w:eastAsia="宋体" w:cs="宋体"/>
          <w:color w:val="auto"/>
          <w:sz w:val="24"/>
          <w:szCs w:val="24"/>
        </w:rPr>
      </w:pPr>
      <w:r>
        <w:rPr>
          <w:rFonts w:hint="eastAsia" w:ascii="宋体" w:hAnsi="宋体" w:eastAsia="宋体" w:cs="宋体"/>
          <w:color w:val="auto"/>
          <w:sz w:val="24"/>
          <w:szCs w:val="24"/>
        </w:rPr>
        <w:br w:type="page"/>
      </w:r>
    </w:p>
    <w:p w14:paraId="71ED4914">
      <w:pPr>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附件6：</w:t>
      </w:r>
    </w:p>
    <w:p w14:paraId="0E7EEABB">
      <w:pPr>
        <w:spacing w:line="44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6-1：材料暂估价表</w:t>
      </w:r>
    </w:p>
    <w:tbl>
      <w:tblPr>
        <w:tblStyle w:val="47"/>
        <w:tblW w:w="9658" w:type="dxa"/>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2569"/>
        <w:gridCol w:w="851"/>
        <w:gridCol w:w="774"/>
        <w:gridCol w:w="1352"/>
        <w:gridCol w:w="1418"/>
        <w:gridCol w:w="1701"/>
      </w:tblGrid>
      <w:tr w14:paraId="0E9C84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tcPr>
          <w:p w14:paraId="45187420">
            <w:pPr>
              <w:keepNext/>
              <w:keepLines w:val="0"/>
              <w:suppressLineNumbers w:val="0"/>
              <w:spacing w:before="0" w:beforeAutospacing="0" w:after="0" w:afterAutospacing="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2569" w:type="dxa"/>
            <w:tcBorders>
              <w:top w:val="single" w:color="auto" w:sz="12" w:space="0"/>
              <w:bottom w:val="double" w:color="auto" w:sz="6" w:space="0"/>
            </w:tcBorders>
          </w:tcPr>
          <w:p w14:paraId="0C60BC85">
            <w:pPr>
              <w:keepNext/>
              <w:keepLines w:val="0"/>
              <w:suppressLineNumbers w:val="0"/>
              <w:spacing w:before="0" w:beforeAutospacing="0" w:after="0" w:afterAutospacing="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名称</w:t>
            </w:r>
          </w:p>
        </w:tc>
        <w:tc>
          <w:tcPr>
            <w:tcW w:w="851" w:type="dxa"/>
            <w:tcBorders>
              <w:top w:val="single" w:color="auto" w:sz="12" w:space="0"/>
              <w:bottom w:val="double" w:color="auto" w:sz="6" w:space="0"/>
            </w:tcBorders>
          </w:tcPr>
          <w:p w14:paraId="7A0E6398">
            <w:pPr>
              <w:keepNext/>
              <w:keepLines w:val="0"/>
              <w:suppressLineNumbers w:val="0"/>
              <w:spacing w:before="0" w:beforeAutospacing="0" w:after="0" w:afterAutospacing="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单位</w:t>
            </w:r>
          </w:p>
        </w:tc>
        <w:tc>
          <w:tcPr>
            <w:tcW w:w="774" w:type="dxa"/>
            <w:tcBorders>
              <w:top w:val="single" w:color="auto" w:sz="12" w:space="0"/>
              <w:bottom w:val="double" w:color="auto" w:sz="6" w:space="0"/>
            </w:tcBorders>
          </w:tcPr>
          <w:p w14:paraId="6DB8ED74">
            <w:pPr>
              <w:keepNext/>
              <w:keepLines w:val="0"/>
              <w:suppressLineNumbers w:val="0"/>
              <w:spacing w:before="0" w:beforeAutospacing="0" w:after="0" w:afterAutospacing="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数量</w:t>
            </w:r>
          </w:p>
        </w:tc>
        <w:tc>
          <w:tcPr>
            <w:tcW w:w="1352" w:type="dxa"/>
            <w:tcBorders>
              <w:top w:val="single" w:color="auto" w:sz="12" w:space="0"/>
              <w:bottom w:val="double" w:color="auto" w:sz="6" w:space="0"/>
            </w:tcBorders>
          </w:tcPr>
          <w:p w14:paraId="211A3767">
            <w:pPr>
              <w:keepNext/>
              <w:keepLines w:val="0"/>
              <w:suppressLineNumbers w:val="0"/>
              <w:spacing w:before="0" w:beforeAutospacing="0" w:after="0" w:afterAutospacing="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单价（元）</w:t>
            </w:r>
          </w:p>
        </w:tc>
        <w:tc>
          <w:tcPr>
            <w:tcW w:w="1418" w:type="dxa"/>
            <w:tcBorders>
              <w:top w:val="single" w:color="auto" w:sz="12" w:space="0"/>
              <w:bottom w:val="double" w:color="auto" w:sz="6" w:space="0"/>
            </w:tcBorders>
          </w:tcPr>
          <w:p w14:paraId="75AB77F0">
            <w:pPr>
              <w:keepNext/>
              <w:keepLines w:val="0"/>
              <w:suppressLineNumbers w:val="0"/>
              <w:spacing w:before="0" w:beforeAutospacing="0" w:after="0" w:afterAutospacing="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合价（元）</w:t>
            </w:r>
          </w:p>
        </w:tc>
        <w:tc>
          <w:tcPr>
            <w:tcW w:w="1701" w:type="dxa"/>
            <w:tcBorders>
              <w:top w:val="single" w:color="auto" w:sz="12" w:space="0"/>
              <w:bottom w:val="double" w:color="auto" w:sz="6" w:space="0"/>
            </w:tcBorders>
          </w:tcPr>
          <w:p w14:paraId="1DC5ECD7">
            <w:pPr>
              <w:keepNext/>
              <w:keepLines w:val="0"/>
              <w:suppressLineNumbers w:val="0"/>
              <w:spacing w:before="0" w:beforeAutospacing="0" w:after="0" w:afterAutospacing="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备注</w:t>
            </w:r>
          </w:p>
        </w:tc>
      </w:tr>
      <w:tr w14:paraId="2980B2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tcBorders>
          </w:tcPr>
          <w:p w14:paraId="41561935">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2569" w:type="dxa"/>
            <w:tcBorders>
              <w:top w:val="double" w:color="auto" w:sz="6" w:space="0"/>
            </w:tcBorders>
          </w:tcPr>
          <w:p w14:paraId="73473CC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Borders>
              <w:top w:val="double" w:color="auto" w:sz="6" w:space="0"/>
            </w:tcBorders>
          </w:tcPr>
          <w:p w14:paraId="6B1C03C8">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774" w:type="dxa"/>
            <w:tcBorders>
              <w:top w:val="double" w:color="auto" w:sz="6" w:space="0"/>
            </w:tcBorders>
          </w:tcPr>
          <w:p w14:paraId="00C9910B">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Borders>
              <w:top w:val="double" w:color="auto" w:sz="6" w:space="0"/>
            </w:tcBorders>
          </w:tcPr>
          <w:p w14:paraId="129EAFC5">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Borders>
              <w:top w:val="double" w:color="auto" w:sz="6" w:space="0"/>
            </w:tcBorders>
          </w:tcPr>
          <w:p w14:paraId="37D1F9E3">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Borders>
              <w:top w:val="double" w:color="auto" w:sz="6" w:space="0"/>
            </w:tcBorders>
          </w:tcPr>
          <w:p w14:paraId="6A45FC27">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02A737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tcPr>
          <w:p w14:paraId="55D9CF96">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2569" w:type="dxa"/>
            <w:tcBorders>
              <w:top w:val="nil"/>
            </w:tcBorders>
          </w:tcPr>
          <w:p w14:paraId="000BB4FC">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Borders>
              <w:top w:val="nil"/>
            </w:tcBorders>
          </w:tcPr>
          <w:p w14:paraId="26F1F2F3">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774" w:type="dxa"/>
            <w:tcBorders>
              <w:top w:val="nil"/>
            </w:tcBorders>
          </w:tcPr>
          <w:p w14:paraId="49A6179F">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Borders>
              <w:top w:val="nil"/>
            </w:tcBorders>
          </w:tcPr>
          <w:p w14:paraId="6C7773F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Borders>
              <w:top w:val="nil"/>
            </w:tcBorders>
          </w:tcPr>
          <w:p w14:paraId="26A8ACD4">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Borders>
              <w:top w:val="nil"/>
            </w:tcBorders>
          </w:tcPr>
          <w:p w14:paraId="3EBDAB18">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4F5A12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8134A57">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2569" w:type="dxa"/>
          </w:tcPr>
          <w:p w14:paraId="2799A1DA">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10413312">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774" w:type="dxa"/>
          </w:tcPr>
          <w:p w14:paraId="74D5F31D">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201D8280">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7BE29958">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3245943D">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2CBC04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2421395">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2569" w:type="dxa"/>
          </w:tcPr>
          <w:p w14:paraId="7F4A1ED7">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71BCEDA6">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774" w:type="dxa"/>
          </w:tcPr>
          <w:p w14:paraId="228C0EA7">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6DDF3B0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60688F60">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162BBE38">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2E8C04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A1327E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2569" w:type="dxa"/>
          </w:tcPr>
          <w:p w14:paraId="76A420DA">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0734553F">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774" w:type="dxa"/>
          </w:tcPr>
          <w:p w14:paraId="57073E9A">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13003DE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0CA1B31F">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1B2579C4">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39F07F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9CEC397">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2569" w:type="dxa"/>
          </w:tcPr>
          <w:p w14:paraId="4788C918">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50719142">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774" w:type="dxa"/>
          </w:tcPr>
          <w:p w14:paraId="35965BE0">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69AC7169">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207B6F67">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0E3EE7B9">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156DDF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ECA3315">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2569" w:type="dxa"/>
          </w:tcPr>
          <w:p w14:paraId="290A556C">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5AD0B510">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774" w:type="dxa"/>
          </w:tcPr>
          <w:p w14:paraId="2F26AF99">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107D314C">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79EDC7CF">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7D88F611">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21E36D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C9F18AD">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2569" w:type="dxa"/>
          </w:tcPr>
          <w:p w14:paraId="78AAA4B5">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0B8C370F">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774" w:type="dxa"/>
          </w:tcPr>
          <w:p w14:paraId="74EED958">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62768204">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03DE54AA">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1EAE01E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4E3450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6D8E04D">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2569" w:type="dxa"/>
          </w:tcPr>
          <w:p w14:paraId="6BFF8DB7">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1CBD40EC">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774" w:type="dxa"/>
          </w:tcPr>
          <w:p w14:paraId="79132EAA">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5723FA30">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2C5885C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1FA439C4">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395993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05C3D7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2569" w:type="dxa"/>
          </w:tcPr>
          <w:p w14:paraId="4D3790C4">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01C653CD">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774" w:type="dxa"/>
          </w:tcPr>
          <w:p w14:paraId="4E04B340">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35501DEF">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5CD17BC9">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61327870">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3BA30F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EB92C33">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2569" w:type="dxa"/>
          </w:tcPr>
          <w:p w14:paraId="1CBD66F0">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5E43C300">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774" w:type="dxa"/>
          </w:tcPr>
          <w:p w14:paraId="2EFE1079">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66ABE97F">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17AC8C4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107D9C68">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1941BA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4200D17">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2569" w:type="dxa"/>
          </w:tcPr>
          <w:p w14:paraId="68DFA473">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5D340749">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774" w:type="dxa"/>
          </w:tcPr>
          <w:p w14:paraId="421C6723">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7615A121">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1939B159">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09335EDC">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6D54A9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B2F7F4D">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2569" w:type="dxa"/>
          </w:tcPr>
          <w:p w14:paraId="1DDA3394">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6A9E4DE1">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774" w:type="dxa"/>
          </w:tcPr>
          <w:p w14:paraId="255DEEDB">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54AFEAB3">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02E6214D">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5DE2A933">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72D3DB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30BDE92">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2569" w:type="dxa"/>
          </w:tcPr>
          <w:p w14:paraId="1B7D1D5B">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2E68BBB0">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774" w:type="dxa"/>
          </w:tcPr>
          <w:p w14:paraId="62B88174">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626DE0F6">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6D1E3223">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67313203">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7934EE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4BD64CA">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2569" w:type="dxa"/>
          </w:tcPr>
          <w:p w14:paraId="2D1C0AF4">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690A3DE5">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774" w:type="dxa"/>
          </w:tcPr>
          <w:p w14:paraId="3AAA6D5A">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20C554DD">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530C62B0">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05BB7C92">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29B0FD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F34BBBD">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2569" w:type="dxa"/>
          </w:tcPr>
          <w:p w14:paraId="47DD5ABB">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013E3FA5">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774" w:type="dxa"/>
          </w:tcPr>
          <w:p w14:paraId="04493BFF">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6F519612">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1AE36AF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15B63196">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6C32E9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A7EB5B6">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2569" w:type="dxa"/>
          </w:tcPr>
          <w:p w14:paraId="3B43F613">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002DDB7C">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774" w:type="dxa"/>
          </w:tcPr>
          <w:p w14:paraId="3291DE2D">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4047A7ED">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6D92A90F">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565F7E98">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0C1675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06B610F">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2569" w:type="dxa"/>
          </w:tcPr>
          <w:p w14:paraId="1BFBDC36">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648A65C3">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774" w:type="dxa"/>
          </w:tcPr>
          <w:p w14:paraId="5F8BEBA9">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46A68C82">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7E978A92">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566769AF">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53D259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F939C1C">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2569" w:type="dxa"/>
          </w:tcPr>
          <w:p w14:paraId="498B8E36">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1C2332DF">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774" w:type="dxa"/>
          </w:tcPr>
          <w:p w14:paraId="676C97B3">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653A8CA1">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138288E9">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7F16E54A">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5B81CE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9BA0CA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2569" w:type="dxa"/>
          </w:tcPr>
          <w:p w14:paraId="77D64DD4">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1B153291">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774" w:type="dxa"/>
          </w:tcPr>
          <w:p w14:paraId="4E1D0C94">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1C3F67B7">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6FCBC78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7CE07160">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7CE887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BB24D28">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2569" w:type="dxa"/>
          </w:tcPr>
          <w:p w14:paraId="5593F05A">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0033CADA">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774" w:type="dxa"/>
          </w:tcPr>
          <w:p w14:paraId="7AB2B1E4">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4AD3346F">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167F52D9">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7DB0ECAF">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4B4A21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66CA54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2569" w:type="dxa"/>
          </w:tcPr>
          <w:p w14:paraId="6077A967">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44E50350">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774" w:type="dxa"/>
          </w:tcPr>
          <w:p w14:paraId="26FBDC7C">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24000CB4">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0E661D94">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4B09D726">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563B66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2E14CA8">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2569" w:type="dxa"/>
          </w:tcPr>
          <w:p w14:paraId="23E3D3D9">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24CA4231">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774" w:type="dxa"/>
          </w:tcPr>
          <w:p w14:paraId="26328E71">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12E1AC57">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247B9321">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2DCCCC8B">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00A8EB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bottom w:val="single" w:color="auto" w:sz="12" w:space="0"/>
            </w:tcBorders>
          </w:tcPr>
          <w:p w14:paraId="16676987">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2569" w:type="dxa"/>
            <w:tcBorders>
              <w:bottom w:val="single" w:color="auto" w:sz="12" w:space="0"/>
            </w:tcBorders>
          </w:tcPr>
          <w:p w14:paraId="7F6958A5">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Borders>
              <w:bottom w:val="single" w:color="auto" w:sz="12" w:space="0"/>
            </w:tcBorders>
          </w:tcPr>
          <w:p w14:paraId="7105D04C">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774" w:type="dxa"/>
            <w:tcBorders>
              <w:bottom w:val="single" w:color="auto" w:sz="12" w:space="0"/>
            </w:tcBorders>
          </w:tcPr>
          <w:p w14:paraId="702D548B">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Borders>
              <w:bottom w:val="single" w:color="auto" w:sz="12" w:space="0"/>
            </w:tcBorders>
          </w:tcPr>
          <w:p w14:paraId="56B76197">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Borders>
              <w:bottom w:val="single" w:color="auto" w:sz="12" w:space="0"/>
            </w:tcBorders>
          </w:tcPr>
          <w:p w14:paraId="43A65EA6">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Borders>
              <w:bottom w:val="single" w:color="auto" w:sz="12" w:space="0"/>
            </w:tcBorders>
          </w:tcPr>
          <w:p w14:paraId="4F705F06">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bl>
    <w:p w14:paraId="7F59C005">
      <w:pPr>
        <w:spacing w:before="120" w:beforeLines="50" w:after="120" w:afterLines="50" w:line="440" w:lineRule="exact"/>
        <w:rPr>
          <w:rFonts w:hint="eastAsia" w:ascii="宋体" w:hAnsi="宋体" w:eastAsia="宋体" w:cs="宋体"/>
          <w:color w:val="auto"/>
          <w:sz w:val="24"/>
          <w:szCs w:val="24"/>
        </w:rPr>
      </w:pPr>
    </w:p>
    <w:p w14:paraId="6EA0A226">
      <w:pPr>
        <w:spacing w:before="120" w:beforeLines="50" w:after="120" w:afterLines="50" w:line="440" w:lineRule="exact"/>
        <w:jc w:val="center"/>
        <w:rPr>
          <w:rFonts w:hint="eastAsia" w:ascii="宋体" w:hAnsi="宋体" w:eastAsia="宋体" w:cs="宋体"/>
          <w:b/>
          <w:color w:val="auto"/>
          <w:sz w:val="24"/>
          <w:szCs w:val="24"/>
        </w:rPr>
      </w:pPr>
      <w:r>
        <w:rPr>
          <w:rFonts w:hint="eastAsia" w:ascii="宋体" w:hAnsi="宋体" w:eastAsia="宋体" w:cs="宋体"/>
          <w:color w:val="auto"/>
          <w:sz w:val="24"/>
          <w:szCs w:val="24"/>
        </w:rPr>
        <w:br w:type="page"/>
      </w:r>
      <w:r>
        <w:rPr>
          <w:rFonts w:hint="eastAsia" w:ascii="宋体" w:hAnsi="宋体" w:eastAsia="宋体" w:cs="宋体"/>
          <w:b/>
          <w:color w:val="auto"/>
          <w:sz w:val="24"/>
          <w:szCs w:val="24"/>
        </w:rPr>
        <w:t>6-2：工程设备暂估价表</w:t>
      </w:r>
    </w:p>
    <w:tbl>
      <w:tblPr>
        <w:tblStyle w:val="47"/>
        <w:tblW w:w="9293"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994"/>
        <w:gridCol w:w="1352"/>
        <w:gridCol w:w="1418"/>
        <w:gridCol w:w="1701"/>
      </w:tblGrid>
      <w:tr w14:paraId="0CF850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tcPr>
          <w:p w14:paraId="69774393">
            <w:pPr>
              <w:keepNext/>
              <w:keepLines w:val="0"/>
              <w:suppressLineNumbers w:val="0"/>
              <w:spacing w:before="0" w:beforeAutospacing="0" w:after="0" w:afterAutospacing="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1984" w:type="dxa"/>
            <w:tcBorders>
              <w:top w:val="single" w:color="auto" w:sz="12" w:space="0"/>
              <w:bottom w:val="double" w:color="auto" w:sz="6" w:space="0"/>
            </w:tcBorders>
          </w:tcPr>
          <w:p w14:paraId="48F6322E">
            <w:pPr>
              <w:keepNext/>
              <w:keepLines w:val="0"/>
              <w:suppressLineNumbers w:val="0"/>
              <w:spacing w:before="0" w:beforeAutospacing="0" w:after="0" w:afterAutospacing="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名称</w:t>
            </w:r>
          </w:p>
        </w:tc>
        <w:tc>
          <w:tcPr>
            <w:tcW w:w="851" w:type="dxa"/>
            <w:tcBorders>
              <w:top w:val="single" w:color="auto" w:sz="12" w:space="0"/>
              <w:bottom w:val="double" w:color="auto" w:sz="6" w:space="0"/>
            </w:tcBorders>
          </w:tcPr>
          <w:p w14:paraId="0A2249BB">
            <w:pPr>
              <w:keepNext/>
              <w:keepLines w:val="0"/>
              <w:suppressLineNumbers w:val="0"/>
              <w:spacing w:before="0" w:beforeAutospacing="0" w:after="0" w:afterAutospacing="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单位</w:t>
            </w:r>
          </w:p>
        </w:tc>
        <w:tc>
          <w:tcPr>
            <w:tcW w:w="994" w:type="dxa"/>
            <w:tcBorders>
              <w:top w:val="single" w:color="auto" w:sz="12" w:space="0"/>
              <w:bottom w:val="double" w:color="auto" w:sz="6" w:space="0"/>
            </w:tcBorders>
          </w:tcPr>
          <w:p w14:paraId="295079F1">
            <w:pPr>
              <w:keepNext/>
              <w:keepLines w:val="0"/>
              <w:suppressLineNumbers w:val="0"/>
              <w:spacing w:before="0" w:beforeAutospacing="0" w:after="0" w:afterAutospacing="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数量</w:t>
            </w:r>
          </w:p>
        </w:tc>
        <w:tc>
          <w:tcPr>
            <w:tcW w:w="1352" w:type="dxa"/>
            <w:tcBorders>
              <w:top w:val="single" w:color="auto" w:sz="12" w:space="0"/>
              <w:bottom w:val="double" w:color="auto" w:sz="6" w:space="0"/>
            </w:tcBorders>
          </w:tcPr>
          <w:p w14:paraId="75250858">
            <w:pPr>
              <w:keepNext/>
              <w:keepLines w:val="0"/>
              <w:suppressLineNumbers w:val="0"/>
              <w:spacing w:before="0" w:beforeAutospacing="0" w:after="0" w:afterAutospacing="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单价（元）</w:t>
            </w:r>
          </w:p>
        </w:tc>
        <w:tc>
          <w:tcPr>
            <w:tcW w:w="1418" w:type="dxa"/>
            <w:tcBorders>
              <w:top w:val="single" w:color="auto" w:sz="12" w:space="0"/>
              <w:bottom w:val="double" w:color="auto" w:sz="6" w:space="0"/>
            </w:tcBorders>
          </w:tcPr>
          <w:p w14:paraId="78EF16B7">
            <w:pPr>
              <w:keepNext/>
              <w:keepLines w:val="0"/>
              <w:suppressLineNumbers w:val="0"/>
              <w:spacing w:before="0" w:beforeAutospacing="0" w:after="0" w:afterAutospacing="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合价（元）</w:t>
            </w:r>
          </w:p>
        </w:tc>
        <w:tc>
          <w:tcPr>
            <w:tcW w:w="1701" w:type="dxa"/>
            <w:tcBorders>
              <w:top w:val="single" w:color="auto" w:sz="12" w:space="0"/>
              <w:bottom w:val="double" w:color="auto" w:sz="6" w:space="0"/>
            </w:tcBorders>
          </w:tcPr>
          <w:p w14:paraId="485DD0CF">
            <w:pPr>
              <w:keepNext/>
              <w:keepLines w:val="0"/>
              <w:suppressLineNumbers w:val="0"/>
              <w:spacing w:before="0" w:beforeAutospacing="0" w:after="0" w:afterAutospacing="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备注</w:t>
            </w:r>
          </w:p>
        </w:tc>
      </w:tr>
      <w:tr w14:paraId="6B2485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tcBorders>
          </w:tcPr>
          <w:p w14:paraId="3EAA03CF">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Borders>
              <w:top w:val="double" w:color="auto" w:sz="6" w:space="0"/>
            </w:tcBorders>
          </w:tcPr>
          <w:p w14:paraId="46A80A1A">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Borders>
              <w:top w:val="double" w:color="auto" w:sz="6" w:space="0"/>
            </w:tcBorders>
          </w:tcPr>
          <w:p w14:paraId="621C59A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Borders>
              <w:top w:val="double" w:color="auto" w:sz="6" w:space="0"/>
            </w:tcBorders>
          </w:tcPr>
          <w:p w14:paraId="335DE99A">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Borders>
              <w:top w:val="double" w:color="auto" w:sz="6" w:space="0"/>
            </w:tcBorders>
          </w:tcPr>
          <w:p w14:paraId="77A8B0CF">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Borders>
              <w:top w:val="double" w:color="auto" w:sz="6" w:space="0"/>
            </w:tcBorders>
          </w:tcPr>
          <w:p w14:paraId="6D0C4EDF">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Borders>
              <w:top w:val="double" w:color="auto" w:sz="6" w:space="0"/>
            </w:tcBorders>
          </w:tcPr>
          <w:p w14:paraId="2841B5F0">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59C311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tcPr>
          <w:p w14:paraId="6C93D94C">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Borders>
              <w:top w:val="nil"/>
            </w:tcBorders>
          </w:tcPr>
          <w:p w14:paraId="211EED89">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Borders>
              <w:top w:val="nil"/>
            </w:tcBorders>
          </w:tcPr>
          <w:p w14:paraId="3CA6C37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Borders>
              <w:top w:val="nil"/>
            </w:tcBorders>
          </w:tcPr>
          <w:p w14:paraId="49C41496">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Borders>
              <w:top w:val="nil"/>
            </w:tcBorders>
          </w:tcPr>
          <w:p w14:paraId="4E164422">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Borders>
              <w:top w:val="nil"/>
            </w:tcBorders>
          </w:tcPr>
          <w:p w14:paraId="2F1DCFC5">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Borders>
              <w:top w:val="nil"/>
            </w:tcBorders>
          </w:tcPr>
          <w:p w14:paraId="4AA7B963">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2758C0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0800C0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Pr>
          <w:p w14:paraId="207EE694">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747187AD">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Pr>
          <w:p w14:paraId="49D4A35A">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2A8CFD4C">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6304DF5F">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76F328F3">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40C13D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1E8A31D0">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Pr>
          <w:p w14:paraId="3CFA0F51">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03D3C2F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Pr>
          <w:p w14:paraId="4A10DE5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55EE1317">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7F83DD1F">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7D744299">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63491A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E484CE7">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Pr>
          <w:p w14:paraId="4F6471AA">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7536695C">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Pr>
          <w:p w14:paraId="16330AAC">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05A86430">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43F0A14A">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6AC9D5D1">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188605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054447C">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Pr>
          <w:p w14:paraId="36F38F16">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07DDDFE4">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Pr>
          <w:p w14:paraId="7A92C1F4">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1EA60A09">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22D9CFD5">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5FF4E5C6">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571BAB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3F3A3F7">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Pr>
          <w:p w14:paraId="1141B129">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33725E33">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Pr>
          <w:p w14:paraId="34717242">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50542851">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5C63042D">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5BFDACBB">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661F9F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17DB10C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Pr>
          <w:p w14:paraId="6466D9D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187CD94A">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Pr>
          <w:p w14:paraId="58C5E0EC">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73440682">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3AB4A2F1">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0983BF47">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11C77B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90F38D9">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Pr>
          <w:p w14:paraId="0122FE8B">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4DC45CF4">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Pr>
          <w:p w14:paraId="0F97CAB5">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2C739E57">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52AA39DF">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15B5ADB6">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2AF06C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94F1A78">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Pr>
          <w:p w14:paraId="31FB24DD">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4E9F01B7">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Pr>
          <w:p w14:paraId="55E2A144">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74B3B56F">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6A19036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64A1E88D">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34A9B7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A1DBD34">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Pr>
          <w:p w14:paraId="290C5158">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3793346B">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Pr>
          <w:p w14:paraId="2FDC96F7">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720669A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3D041E81">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0ECD5CA7">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5B0C54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95CF8B4">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Pr>
          <w:p w14:paraId="5077DAD8">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3C190F26">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Pr>
          <w:p w14:paraId="6C1CB553">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07B88138">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7C2ED917">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5828C2B0">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0CB871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2AC07C4">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Pr>
          <w:p w14:paraId="5C38777F">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3C6AF286">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Pr>
          <w:p w14:paraId="65CBF9C9">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4C4A792F">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7F7242D6">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1C7A16F2">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0A3458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8C753F6">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Pr>
          <w:p w14:paraId="7A832C79">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0DA22B87">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Pr>
          <w:p w14:paraId="7D2A2725">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41A7F92B">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0521AEA8">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26D81C93">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490706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12677A0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Pr>
          <w:p w14:paraId="29B2165F">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1AC429B1">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Pr>
          <w:p w14:paraId="13978560">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0D871386">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2FA90299">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488A1C12">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43CBD7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184113B0">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Pr>
          <w:p w14:paraId="707A2B99">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2F869360">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Pr>
          <w:p w14:paraId="7F567231">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08802EFD">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349317C8">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75A3997D">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3A4412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9AEF86B">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Pr>
          <w:p w14:paraId="6A85F83A">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609B9EF2">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Pr>
          <w:p w14:paraId="6DE98E74">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57789DF0">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2775E97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5E827CC0">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313DB6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82A66EF">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Pr>
          <w:p w14:paraId="540DABAB">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1C3D7046">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Pr>
          <w:p w14:paraId="50807BB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6B66BF35">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50610ED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6B7AC04A">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709D11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78ABDB3">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Pr>
          <w:p w14:paraId="3ACDDCB0">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11A651E7">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Pr>
          <w:p w14:paraId="7873D91C">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74EFD093">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4F8E50D1">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4E3E170B">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496DF4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D9BA231">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Pr>
          <w:p w14:paraId="5D17AED2">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7CC411B2">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Pr>
          <w:p w14:paraId="1027AB17">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3BDA399B">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5F05BF01">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29F255F2">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46A408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8F09633">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Pr>
          <w:p w14:paraId="182EB1F3">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2985D6FA">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Pr>
          <w:p w14:paraId="56CBF6EF">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291DFFAF">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7946EF15">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13B93605">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750068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FA1CA90">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Pr>
          <w:p w14:paraId="5B868A26">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6EEF63E2">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Pr>
          <w:p w14:paraId="79557B19">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3A880E07">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4996E352">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7649CFDD">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633739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1C91A62C">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Pr>
          <w:p w14:paraId="35944132">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10927EF2">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Pr>
          <w:p w14:paraId="3252C6F9">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69FB6BA4">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1248E04A">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590C5E2F">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2695D0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667F3AB">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Pr>
          <w:p w14:paraId="4C325A9C">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418C1DDB">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Pr>
          <w:p w14:paraId="148A692B">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3C87921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436675A6">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7809149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2099B6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bottom w:val="single" w:color="auto" w:sz="12" w:space="0"/>
            </w:tcBorders>
          </w:tcPr>
          <w:p w14:paraId="5817E8A2">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Borders>
              <w:bottom w:val="single" w:color="auto" w:sz="12" w:space="0"/>
            </w:tcBorders>
          </w:tcPr>
          <w:p w14:paraId="2FE2E81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Borders>
              <w:bottom w:val="single" w:color="auto" w:sz="12" w:space="0"/>
            </w:tcBorders>
          </w:tcPr>
          <w:p w14:paraId="639B8D90">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Borders>
              <w:bottom w:val="single" w:color="auto" w:sz="12" w:space="0"/>
            </w:tcBorders>
          </w:tcPr>
          <w:p w14:paraId="2ADB3825">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Borders>
              <w:bottom w:val="single" w:color="auto" w:sz="12" w:space="0"/>
            </w:tcBorders>
          </w:tcPr>
          <w:p w14:paraId="604C4514">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Borders>
              <w:bottom w:val="single" w:color="auto" w:sz="12" w:space="0"/>
            </w:tcBorders>
          </w:tcPr>
          <w:p w14:paraId="37F59B30">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Borders>
              <w:bottom w:val="single" w:color="auto" w:sz="12" w:space="0"/>
            </w:tcBorders>
          </w:tcPr>
          <w:p w14:paraId="4ECB8430">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bl>
    <w:p w14:paraId="3C08AC74">
      <w:pPr>
        <w:spacing w:line="440" w:lineRule="exact"/>
        <w:rPr>
          <w:rFonts w:hint="eastAsia" w:ascii="宋体" w:hAnsi="宋体" w:eastAsia="宋体" w:cs="宋体"/>
          <w:color w:val="auto"/>
          <w:sz w:val="24"/>
          <w:szCs w:val="24"/>
        </w:rPr>
      </w:pPr>
    </w:p>
    <w:p w14:paraId="19C990C0">
      <w:pPr>
        <w:spacing w:before="120" w:beforeLines="50" w:after="120" w:afterLines="50" w:line="440" w:lineRule="exact"/>
        <w:jc w:val="center"/>
        <w:rPr>
          <w:rFonts w:hint="eastAsia" w:ascii="宋体" w:hAnsi="宋体" w:eastAsia="宋体" w:cs="宋体"/>
          <w:b/>
          <w:color w:val="auto"/>
          <w:sz w:val="24"/>
          <w:szCs w:val="24"/>
        </w:rPr>
      </w:pPr>
      <w:r>
        <w:rPr>
          <w:rFonts w:hint="eastAsia" w:ascii="宋体" w:hAnsi="宋体" w:eastAsia="宋体" w:cs="宋体"/>
          <w:color w:val="auto"/>
          <w:sz w:val="24"/>
          <w:szCs w:val="24"/>
        </w:rPr>
        <w:br w:type="page"/>
      </w:r>
      <w:r>
        <w:rPr>
          <w:rFonts w:hint="eastAsia" w:ascii="宋体" w:hAnsi="宋体" w:eastAsia="宋体" w:cs="宋体"/>
          <w:b/>
          <w:color w:val="auto"/>
          <w:sz w:val="24"/>
          <w:szCs w:val="24"/>
        </w:rPr>
        <w:t>6-3：专业工程暂估价表</w:t>
      </w:r>
    </w:p>
    <w:tbl>
      <w:tblPr>
        <w:tblStyle w:val="47"/>
        <w:tblW w:w="9293" w:type="dxa"/>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994"/>
        <w:gridCol w:w="1352"/>
        <w:gridCol w:w="1418"/>
        <w:gridCol w:w="1701"/>
      </w:tblGrid>
      <w:tr w14:paraId="3DF374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tcPr>
          <w:p w14:paraId="38B9F248">
            <w:pPr>
              <w:keepNext/>
              <w:keepLines w:val="0"/>
              <w:suppressLineNumbers w:val="0"/>
              <w:spacing w:before="0" w:beforeAutospacing="0" w:after="0" w:afterAutospacing="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1984" w:type="dxa"/>
            <w:tcBorders>
              <w:top w:val="single" w:color="auto" w:sz="12" w:space="0"/>
              <w:bottom w:val="double" w:color="auto" w:sz="6" w:space="0"/>
            </w:tcBorders>
          </w:tcPr>
          <w:p w14:paraId="65F9B200">
            <w:pPr>
              <w:keepNext/>
              <w:keepLines w:val="0"/>
              <w:suppressLineNumbers w:val="0"/>
              <w:spacing w:before="0" w:beforeAutospacing="0" w:after="0" w:afterAutospacing="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名称</w:t>
            </w:r>
          </w:p>
        </w:tc>
        <w:tc>
          <w:tcPr>
            <w:tcW w:w="851" w:type="dxa"/>
            <w:tcBorders>
              <w:top w:val="single" w:color="auto" w:sz="12" w:space="0"/>
              <w:bottom w:val="double" w:color="auto" w:sz="6" w:space="0"/>
            </w:tcBorders>
          </w:tcPr>
          <w:p w14:paraId="76E3C225">
            <w:pPr>
              <w:keepNext/>
              <w:keepLines w:val="0"/>
              <w:suppressLineNumbers w:val="0"/>
              <w:spacing w:before="0" w:beforeAutospacing="0" w:after="0" w:afterAutospacing="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单位</w:t>
            </w:r>
          </w:p>
        </w:tc>
        <w:tc>
          <w:tcPr>
            <w:tcW w:w="994" w:type="dxa"/>
            <w:tcBorders>
              <w:top w:val="single" w:color="auto" w:sz="12" w:space="0"/>
              <w:bottom w:val="double" w:color="auto" w:sz="6" w:space="0"/>
            </w:tcBorders>
          </w:tcPr>
          <w:p w14:paraId="2A3BE022">
            <w:pPr>
              <w:keepNext/>
              <w:keepLines w:val="0"/>
              <w:suppressLineNumbers w:val="0"/>
              <w:spacing w:before="0" w:beforeAutospacing="0" w:after="0" w:afterAutospacing="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数量</w:t>
            </w:r>
          </w:p>
        </w:tc>
        <w:tc>
          <w:tcPr>
            <w:tcW w:w="1352" w:type="dxa"/>
            <w:tcBorders>
              <w:top w:val="single" w:color="auto" w:sz="12" w:space="0"/>
              <w:bottom w:val="double" w:color="auto" w:sz="6" w:space="0"/>
            </w:tcBorders>
          </w:tcPr>
          <w:p w14:paraId="32B3BF31">
            <w:pPr>
              <w:keepNext/>
              <w:keepLines w:val="0"/>
              <w:suppressLineNumbers w:val="0"/>
              <w:spacing w:before="0" w:beforeAutospacing="0" w:after="0" w:afterAutospacing="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单价（元）</w:t>
            </w:r>
          </w:p>
        </w:tc>
        <w:tc>
          <w:tcPr>
            <w:tcW w:w="1418" w:type="dxa"/>
            <w:tcBorders>
              <w:top w:val="single" w:color="auto" w:sz="12" w:space="0"/>
              <w:bottom w:val="double" w:color="auto" w:sz="6" w:space="0"/>
            </w:tcBorders>
          </w:tcPr>
          <w:p w14:paraId="59EC34C1">
            <w:pPr>
              <w:keepNext/>
              <w:keepLines w:val="0"/>
              <w:suppressLineNumbers w:val="0"/>
              <w:spacing w:before="0" w:beforeAutospacing="0" w:after="0" w:afterAutospacing="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合价（元）</w:t>
            </w:r>
          </w:p>
        </w:tc>
        <w:tc>
          <w:tcPr>
            <w:tcW w:w="1701" w:type="dxa"/>
            <w:tcBorders>
              <w:top w:val="single" w:color="auto" w:sz="12" w:space="0"/>
              <w:bottom w:val="double" w:color="auto" w:sz="6" w:space="0"/>
            </w:tcBorders>
          </w:tcPr>
          <w:p w14:paraId="38B72FD2">
            <w:pPr>
              <w:keepNext/>
              <w:keepLines w:val="0"/>
              <w:suppressLineNumbers w:val="0"/>
              <w:spacing w:before="0" w:beforeAutospacing="0" w:after="0" w:afterAutospacing="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备注</w:t>
            </w:r>
          </w:p>
        </w:tc>
      </w:tr>
      <w:tr w14:paraId="4E8D17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tcBorders>
          </w:tcPr>
          <w:p w14:paraId="0AF4C1E2">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Borders>
              <w:top w:val="double" w:color="auto" w:sz="6" w:space="0"/>
            </w:tcBorders>
          </w:tcPr>
          <w:p w14:paraId="72EEA4CC">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Borders>
              <w:top w:val="double" w:color="auto" w:sz="6" w:space="0"/>
            </w:tcBorders>
          </w:tcPr>
          <w:p w14:paraId="09F0F2A5">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Borders>
              <w:top w:val="double" w:color="auto" w:sz="6" w:space="0"/>
            </w:tcBorders>
          </w:tcPr>
          <w:p w14:paraId="288E840F">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Borders>
              <w:top w:val="double" w:color="auto" w:sz="6" w:space="0"/>
            </w:tcBorders>
          </w:tcPr>
          <w:p w14:paraId="059D4D4A">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Borders>
              <w:top w:val="double" w:color="auto" w:sz="6" w:space="0"/>
            </w:tcBorders>
          </w:tcPr>
          <w:p w14:paraId="41793817">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Borders>
              <w:top w:val="double" w:color="auto" w:sz="6" w:space="0"/>
            </w:tcBorders>
          </w:tcPr>
          <w:p w14:paraId="5AE9982C">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4A2791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tcPr>
          <w:p w14:paraId="74D1F8F6">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Borders>
              <w:top w:val="nil"/>
            </w:tcBorders>
          </w:tcPr>
          <w:p w14:paraId="7C085B35">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Borders>
              <w:top w:val="nil"/>
            </w:tcBorders>
          </w:tcPr>
          <w:p w14:paraId="38B5E46D">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Borders>
              <w:top w:val="nil"/>
            </w:tcBorders>
          </w:tcPr>
          <w:p w14:paraId="6F5AD58F">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Borders>
              <w:top w:val="nil"/>
            </w:tcBorders>
          </w:tcPr>
          <w:p w14:paraId="38408623">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Borders>
              <w:top w:val="nil"/>
            </w:tcBorders>
          </w:tcPr>
          <w:p w14:paraId="18F32758">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Borders>
              <w:top w:val="nil"/>
            </w:tcBorders>
          </w:tcPr>
          <w:p w14:paraId="723F6146">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50FEFA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1D65306">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Pr>
          <w:p w14:paraId="39B24630">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7DFD6AB8">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Pr>
          <w:p w14:paraId="610AC332">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1AA75FDA">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4F97976F">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3D5ACC0C">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2DDCF3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B25BD48">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Pr>
          <w:p w14:paraId="6193FAFD">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33A112F2">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Pr>
          <w:p w14:paraId="138AD7AB">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78458674">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4BEFDC3C">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28F7C13C">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23745C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2F8AC56">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Pr>
          <w:p w14:paraId="579598B2">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1008E3B1">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Pr>
          <w:p w14:paraId="614A9039">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09C4944B">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239D6AF0">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632E48C8">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47CE7E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98DABD8">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Pr>
          <w:p w14:paraId="39FB725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03E30711">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Pr>
          <w:p w14:paraId="74974657">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10729BB8">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500F51C1">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464D8E72">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4DB865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4D881F3">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Pr>
          <w:p w14:paraId="3455C3D1">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28F700B2">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Pr>
          <w:p w14:paraId="6226D026">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7F3F8748">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7BC65CA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4CEE17C3">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51E69D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C4702D9">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Pr>
          <w:p w14:paraId="1943DB66">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74693904">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Pr>
          <w:p w14:paraId="3D66FD7A">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7FC8D94A">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7BC02F62">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59965DC3">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3B2F1E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8D6AA9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Pr>
          <w:p w14:paraId="639405C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59F1AA13">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Pr>
          <w:p w14:paraId="60CA666D">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210FC1B7">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4207E234">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51D14A06">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5CC95A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308EBB4">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Pr>
          <w:p w14:paraId="6C792FE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31B3749B">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Pr>
          <w:p w14:paraId="2467E4A5">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1DF7C9DA">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674D34EF">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3BB2C7F3">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701282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214450C">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Pr>
          <w:p w14:paraId="7D195A86">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6FAC3262">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Pr>
          <w:p w14:paraId="4C062106">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39C464BC">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7B90EA5F">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5BA600B4">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6A4B8D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D3CA5F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Pr>
          <w:p w14:paraId="6945F8ED">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16833608">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Pr>
          <w:p w14:paraId="69C3184A">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09861B32">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4013DAF8">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44BD96EF">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575706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FF7E825">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Pr>
          <w:p w14:paraId="65681894">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6D607D26">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Pr>
          <w:p w14:paraId="188F6B05">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0F69C540">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4C4D28E5">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6C399957">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2E2E17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C1288F7">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Pr>
          <w:p w14:paraId="06EDC8B0">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6ACF4CD0">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Pr>
          <w:p w14:paraId="43A779C9">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75FADDFB">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2580E08B">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0749ED0B">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507388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D1B4732">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Pr>
          <w:p w14:paraId="5A8C133D">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47AAAA5C">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Pr>
          <w:p w14:paraId="57BCF2C1">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61E06D87">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7D6ED4ED">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15F0B2E5">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5FC340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5D0F057">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Pr>
          <w:p w14:paraId="22D109EB">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29D63C79">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Pr>
          <w:p w14:paraId="24C04BB0">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10DAA6CA">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19B302B9">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16B5D0E0">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668F07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EC75F48">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Pr>
          <w:p w14:paraId="625B8008">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1B5385B1">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Pr>
          <w:p w14:paraId="4F0E3D5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4A058A62">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5EAD0AD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1BE81761">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41AD29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1C92061B">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Pr>
          <w:p w14:paraId="3D7995F1">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2E2FC1B7">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Pr>
          <w:p w14:paraId="23CE8A63">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4D0C583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5CA2596B">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69B762A8">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0D9CC6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D9F4221">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Pr>
          <w:p w14:paraId="2AB1BC08">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34ED6DCB">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Pr>
          <w:p w14:paraId="70A2E705">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2C79EC13">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3B727F98">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1B1D5C42">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3EF40D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913176B">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Pr>
          <w:p w14:paraId="1317DA1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322CA6B3">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Pr>
          <w:p w14:paraId="7DB37BF4">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37FBE4E5">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4D228D6C">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757EBD83">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6B172B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FE74C0C">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Pr>
          <w:p w14:paraId="2F04F90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2BEEFDD3">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Pr>
          <w:p w14:paraId="0F2B73FB">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0733700B">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1D870A94">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14CE248A">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00B0A9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8507206">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Pr>
          <w:p w14:paraId="2B9B654F">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7F0E970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Pr>
          <w:p w14:paraId="15A11413">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580E9E2A">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01879ABC">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3D3E6D46">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7D2860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CD8A3D9">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Pr>
          <w:p w14:paraId="0C09C230">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1C405929">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Pr>
          <w:p w14:paraId="682A7C03">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6178F1B3">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0077AE3F">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7475462F">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1FB014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B240284">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Pr>
          <w:p w14:paraId="469D6B17">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Pr>
          <w:p w14:paraId="3268C9A3">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Pr>
          <w:p w14:paraId="7C491577">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Pr>
          <w:p w14:paraId="353C6CA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Pr>
          <w:p w14:paraId="0AEB96EA">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Pr>
          <w:p w14:paraId="6EC95052">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r w14:paraId="132E1F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bottom w:val="single" w:color="auto" w:sz="12" w:space="0"/>
            </w:tcBorders>
          </w:tcPr>
          <w:p w14:paraId="7AFC3A10">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984" w:type="dxa"/>
            <w:tcBorders>
              <w:bottom w:val="single" w:color="auto" w:sz="12" w:space="0"/>
            </w:tcBorders>
          </w:tcPr>
          <w:p w14:paraId="3FFEA0A4">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851" w:type="dxa"/>
            <w:tcBorders>
              <w:bottom w:val="single" w:color="auto" w:sz="12" w:space="0"/>
            </w:tcBorders>
          </w:tcPr>
          <w:p w14:paraId="308B3858">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994" w:type="dxa"/>
            <w:tcBorders>
              <w:bottom w:val="single" w:color="auto" w:sz="12" w:space="0"/>
            </w:tcBorders>
          </w:tcPr>
          <w:p w14:paraId="5E19C423">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352" w:type="dxa"/>
            <w:tcBorders>
              <w:bottom w:val="single" w:color="auto" w:sz="12" w:space="0"/>
            </w:tcBorders>
          </w:tcPr>
          <w:p w14:paraId="65872722">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418" w:type="dxa"/>
            <w:tcBorders>
              <w:bottom w:val="single" w:color="auto" w:sz="12" w:space="0"/>
            </w:tcBorders>
          </w:tcPr>
          <w:p w14:paraId="4C998956">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c>
          <w:tcPr>
            <w:tcW w:w="1701" w:type="dxa"/>
            <w:tcBorders>
              <w:bottom w:val="single" w:color="auto" w:sz="12" w:space="0"/>
            </w:tcBorders>
          </w:tcPr>
          <w:p w14:paraId="30DFD1BE">
            <w:pPr>
              <w:keepNext/>
              <w:keepLines w:val="0"/>
              <w:suppressLineNumbers w:val="0"/>
              <w:spacing w:before="0" w:beforeAutospacing="0" w:after="0" w:afterAutospacing="0" w:line="440" w:lineRule="exact"/>
              <w:ind w:left="63" w:right="63"/>
              <w:rPr>
                <w:rFonts w:hint="eastAsia" w:ascii="宋体" w:hAnsi="宋体" w:eastAsia="宋体" w:cs="宋体"/>
                <w:color w:val="auto"/>
                <w:sz w:val="24"/>
                <w:szCs w:val="24"/>
              </w:rPr>
            </w:pPr>
          </w:p>
        </w:tc>
      </w:tr>
    </w:tbl>
    <w:p w14:paraId="17BCFE55">
      <w:pPr>
        <w:spacing w:line="360" w:lineRule="auto"/>
        <w:jc w:val="left"/>
        <w:rPr>
          <w:rFonts w:hint="eastAsia" w:ascii="宋体" w:hAnsi="宋体" w:eastAsia="宋体" w:cs="宋体"/>
          <w:b/>
          <w:color w:val="auto"/>
          <w:sz w:val="24"/>
          <w:szCs w:val="24"/>
        </w:rPr>
      </w:pPr>
    </w:p>
    <w:p w14:paraId="5D8B6562">
      <w:pPr>
        <w:spacing w:line="360" w:lineRule="auto"/>
        <w:jc w:val="left"/>
        <w:rPr>
          <w:rFonts w:hint="eastAsia" w:ascii="宋体" w:hAnsi="宋体" w:eastAsia="宋体" w:cs="宋体"/>
          <w:b/>
          <w:color w:val="auto"/>
          <w:sz w:val="24"/>
          <w:szCs w:val="24"/>
        </w:rPr>
      </w:pPr>
    </w:p>
    <w:p w14:paraId="48E6B878">
      <w:pPr>
        <w:rPr>
          <w:rFonts w:hint="eastAsia" w:ascii="宋体" w:hAnsi="宋体" w:eastAsia="宋体" w:cs="宋体"/>
          <w:color w:val="auto"/>
          <w:sz w:val="24"/>
          <w:szCs w:val="24"/>
        </w:rPr>
      </w:pPr>
      <w:r>
        <w:rPr>
          <w:rFonts w:hint="eastAsia" w:ascii="宋体" w:hAnsi="宋体" w:eastAsia="宋体" w:cs="宋体"/>
          <w:color w:val="auto"/>
          <w:sz w:val="24"/>
          <w:szCs w:val="24"/>
        </w:rPr>
        <w:br w:type="page"/>
      </w:r>
    </w:p>
    <w:p w14:paraId="752E38B2">
      <w:pPr>
        <w:keepNext/>
        <w:keepLines/>
        <w:spacing w:before="340" w:after="330" w:line="360" w:lineRule="auto"/>
        <w:jc w:val="center"/>
        <w:outlineLvl w:val="0"/>
        <w:rPr>
          <w:b/>
          <w:bCs/>
          <w:color w:val="auto"/>
          <w:kern w:val="44"/>
          <w:sz w:val="24"/>
          <w:szCs w:val="44"/>
          <w:u w:val="single"/>
        </w:rPr>
      </w:pPr>
      <w:r>
        <w:rPr>
          <w:rFonts w:ascii="宋体" w:hAnsi="宋体" w:cs="Arial"/>
          <w:b/>
          <w:bCs/>
          <w:color w:val="auto"/>
          <w:kern w:val="36"/>
          <w:sz w:val="36"/>
          <w:szCs w:val="36"/>
        </w:rPr>
        <w:t>第四章</w:t>
      </w:r>
      <w:bookmarkEnd w:id="50"/>
      <w:r>
        <w:rPr>
          <w:rFonts w:hAnsi="宋体"/>
          <w:b/>
          <w:color w:val="auto"/>
          <w:sz w:val="32"/>
          <w:szCs w:val="32"/>
        </w:rPr>
        <w:t>工程建设标准</w:t>
      </w:r>
    </w:p>
    <w:p w14:paraId="51846CD9">
      <w:pPr>
        <w:spacing w:line="360" w:lineRule="auto"/>
        <w:ind w:right="-233" w:rightChars="-111"/>
        <w:jc w:val="left"/>
        <w:rPr>
          <w:b/>
          <w:bCs/>
          <w:color w:val="auto"/>
          <w:sz w:val="24"/>
        </w:rPr>
      </w:pPr>
      <w:r>
        <w:rPr>
          <w:rFonts w:hAnsi="宋体"/>
          <w:b/>
          <w:bCs/>
          <w:color w:val="auto"/>
          <w:sz w:val="24"/>
        </w:rPr>
        <w:t>一、工程采用的计价规范</w:t>
      </w:r>
    </w:p>
    <w:p w14:paraId="7838DFB1">
      <w:pPr>
        <w:tabs>
          <w:tab w:val="left" w:pos="2410"/>
        </w:tabs>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建设工程工程量清单计价标准》（GB/T50500-2024）及《房屋建筑与装饰工程工程量计算标准》（GB/T50854-2024）、《通用安装工程工程量计算标准》（GB/T50856-2024）工程量计算标准。省住房和城乡建设厅关于实施《建设工程工程量清单计价标准》（GB/T50500-2024）及9本工程量计算标准有关事宜的公告（2025）第12号；《江苏省建筑与装饰工程消耗量》《江苏省市政工程消耗量》《江苏省通用安装工程消耗量》《江苏省建设工程费用参考》及《江苏建设工程施工机具台班费用参考表》；</w:t>
      </w:r>
    </w:p>
    <w:p w14:paraId="48DE933F">
      <w:pPr>
        <w:tabs>
          <w:tab w:val="left" w:pos="2410"/>
        </w:tabs>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2.国家及省级、行业建设主管部门颁发的工程计量与计价相关规定，以及根据工程需要补充的工程量计算规则。</w:t>
      </w:r>
    </w:p>
    <w:p w14:paraId="1E6C6550">
      <w:pPr>
        <w:spacing w:line="360" w:lineRule="auto"/>
        <w:ind w:right="-233" w:rightChars="-111"/>
        <w:jc w:val="left"/>
        <w:rPr>
          <w:b/>
          <w:bCs/>
          <w:color w:val="auto"/>
          <w:sz w:val="24"/>
        </w:rPr>
      </w:pPr>
      <w:r>
        <w:rPr>
          <w:rFonts w:hint="eastAsia" w:hAnsi="宋体"/>
          <w:b/>
          <w:bCs/>
          <w:color w:val="auto"/>
          <w:sz w:val="24"/>
        </w:rPr>
        <w:t>二</w:t>
      </w:r>
      <w:r>
        <w:rPr>
          <w:rFonts w:hAnsi="宋体"/>
          <w:b/>
          <w:bCs/>
          <w:color w:val="auto"/>
          <w:sz w:val="24"/>
        </w:rPr>
        <w:t>、本工程对施工工艺的特殊要求</w:t>
      </w:r>
    </w:p>
    <w:bookmarkEnd w:id="30"/>
    <w:p w14:paraId="6328B421">
      <w:pPr>
        <w:spacing w:line="360" w:lineRule="auto"/>
        <w:ind w:firstLine="480" w:firstLineChars="200"/>
        <w:rPr>
          <w:rFonts w:ascii="宋体" w:hAnsi="宋体" w:cs="宋体"/>
          <w:color w:val="auto"/>
          <w:sz w:val="24"/>
        </w:rPr>
      </w:pPr>
      <w:bookmarkStart w:id="515" w:name="_Toc286661174"/>
      <w:bookmarkStart w:id="516" w:name="_Toc404174020"/>
      <w:bookmarkStart w:id="517" w:name="_Toc404159962"/>
      <w:r>
        <w:rPr>
          <w:rFonts w:hint="eastAsia" w:ascii="宋体" w:hAnsi="宋体" w:cs="宋体"/>
          <w:color w:val="auto"/>
          <w:sz w:val="24"/>
        </w:rPr>
        <w:t xml:space="preserve">1.其他应执行的相关工程施工、检测、验收的相关规范。                  </w:t>
      </w:r>
    </w:p>
    <w:p w14:paraId="265ED35D">
      <w:pPr>
        <w:spacing w:line="360" w:lineRule="auto"/>
        <w:ind w:firstLine="480" w:firstLineChars="200"/>
        <w:rPr>
          <w:rFonts w:ascii="宋体" w:hAnsi="宋体" w:cs="宋体"/>
          <w:color w:val="auto"/>
          <w:sz w:val="24"/>
        </w:rPr>
      </w:pPr>
      <w:r>
        <w:rPr>
          <w:rFonts w:hint="eastAsia" w:ascii="宋体" w:hAnsi="宋体" w:cs="宋体"/>
          <w:color w:val="auto"/>
          <w:sz w:val="24"/>
        </w:rPr>
        <w:t xml:space="preserve">上述技术标准和规范如有不足之处或未能达到国际最新标准时，投标方应使系统的设计、施工及选用的设备/材料符合最新版本的国际和国家标准、规范，并提供所采用的国际和国家标准、规范及所采用版本的有关技术资料。 </w:t>
      </w:r>
    </w:p>
    <w:p w14:paraId="1D6801F1">
      <w:pPr>
        <w:autoSpaceDE w:val="0"/>
        <w:autoSpaceDN w:val="0"/>
        <w:adjustRightInd w:val="0"/>
        <w:spacing w:line="460" w:lineRule="exact"/>
        <w:jc w:val="left"/>
        <w:rPr>
          <w:rFonts w:asciiTheme="minorEastAsia" w:hAnsiTheme="minorEastAsia" w:eastAsiaTheme="minorEastAsia"/>
          <w:b/>
          <w:bCs/>
          <w:color w:val="auto"/>
          <w:kern w:val="0"/>
          <w:sz w:val="24"/>
        </w:rPr>
      </w:pPr>
      <w:r>
        <w:rPr>
          <w:rFonts w:hint="eastAsia" w:asciiTheme="minorEastAsia" w:hAnsiTheme="minorEastAsia" w:eastAsiaTheme="minorEastAsia"/>
          <w:b/>
          <w:color w:val="auto"/>
          <w:kern w:val="0"/>
          <w:sz w:val="24"/>
        </w:rPr>
        <w:t>三、本工程对施工工艺的特殊要求：</w:t>
      </w:r>
    </w:p>
    <w:p w14:paraId="2E6CCFFF">
      <w:pPr>
        <w:spacing w:line="420" w:lineRule="exact"/>
        <w:ind w:firstLine="480" w:firstLineChars="200"/>
        <w:rPr>
          <w:rFonts w:hint="eastAsia" w:ascii="宋体" w:hAnsi="宋体" w:eastAsia="宋体" w:cs="宋体"/>
          <w:color w:val="auto"/>
          <w:sz w:val="24"/>
          <w:szCs w:val="24"/>
          <w:u w:val="single"/>
        </w:rPr>
      </w:pPr>
      <w:r>
        <w:rPr>
          <w:rFonts w:hint="eastAsia" w:ascii="宋体" w:hAnsi="宋体" w:eastAsia="宋体" w:cs="宋体"/>
          <w:color w:val="auto"/>
          <w:sz w:val="24"/>
          <w:szCs w:val="24"/>
          <w:u w:val="single"/>
        </w:rPr>
        <w:t xml:space="preserve">1、施工期间要注意周边环境，尽量避免对周围居民生活的影响。 </w:t>
      </w:r>
    </w:p>
    <w:p w14:paraId="224935A3">
      <w:pPr>
        <w:tabs>
          <w:tab w:val="left" w:pos="2410"/>
        </w:tabs>
        <w:spacing w:line="420" w:lineRule="exact"/>
        <w:ind w:firstLine="480" w:firstLineChars="200"/>
        <w:rPr>
          <w:rFonts w:hint="eastAsia" w:ascii="宋体" w:hAnsi="宋体" w:eastAsia="宋体" w:cs="宋体"/>
          <w:color w:val="auto"/>
          <w:sz w:val="24"/>
          <w:szCs w:val="24"/>
          <w:u w:val="single"/>
        </w:rPr>
      </w:pPr>
      <w:r>
        <w:rPr>
          <w:rFonts w:hint="eastAsia" w:ascii="宋体" w:hAnsi="宋体" w:eastAsia="宋体" w:cs="宋体"/>
          <w:color w:val="auto"/>
          <w:sz w:val="24"/>
          <w:szCs w:val="24"/>
          <w:u w:val="single"/>
        </w:rPr>
        <w:t>2、冬、雨季施工要采取相应的保护措施。</w:t>
      </w:r>
    </w:p>
    <w:p w14:paraId="7F455B96">
      <w:pPr>
        <w:tabs>
          <w:tab w:val="left" w:pos="2410"/>
        </w:tabs>
        <w:spacing w:line="420" w:lineRule="exact"/>
        <w:ind w:firstLine="480" w:firstLineChars="200"/>
        <w:rPr>
          <w:rFonts w:hint="eastAsia" w:ascii="宋体" w:hAnsi="宋体" w:eastAsia="宋体" w:cs="宋体"/>
          <w:b/>
          <w:bCs/>
          <w:color w:val="auto"/>
          <w:kern w:val="44"/>
          <w:sz w:val="24"/>
          <w:szCs w:val="24"/>
        </w:rPr>
      </w:pPr>
      <w:r>
        <w:rPr>
          <w:rFonts w:hint="eastAsia" w:ascii="宋体" w:hAnsi="宋体" w:eastAsia="宋体" w:cs="宋体"/>
          <w:color w:val="auto"/>
          <w:sz w:val="24"/>
          <w:szCs w:val="24"/>
          <w:u w:val="single"/>
        </w:rPr>
        <w:t>3、施工期间要注意周边环境，尽量避免或减少对周围居民生活的影响。</w:t>
      </w:r>
    </w:p>
    <w:p w14:paraId="624AE28D">
      <w:pPr>
        <w:ind w:firstLine="420" w:firstLineChars="200"/>
        <w:rPr>
          <w:rFonts w:ascii="Calibri" w:hAnsi="Calibri"/>
          <w:color w:val="auto"/>
          <w:szCs w:val="22"/>
        </w:rPr>
      </w:pPr>
    </w:p>
    <w:p w14:paraId="057AD303">
      <w:pPr>
        <w:ind w:firstLine="420" w:firstLineChars="200"/>
        <w:rPr>
          <w:rFonts w:ascii="Calibri" w:hAnsi="Calibri"/>
          <w:color w:val="auto"/>
          <w:szCs w:val="22"/>
        </w:rPr>
      </w:pPr>
    </w:p>
    <w:p w14:paraId="52855A2D">
      <w:pPr>
        <w:pStyle w:val="56"/>
        <w:rPr>
          <w:rFonts w:ascii="Calibri" w:hAnsi="Calibri"/>
          <w:color w:val="auto"/>
          <w:szCs w:val="22"/>
        </w:rPr>
      </w:pPr>
    </w:p>
    <w:p w14:paraId="6AA2A2B9">
      <w:pPr>
        <w:rPr>
          <w:rFonts w:ascii="Calibri" w:hAnsi="Calibri"/>
          <w:color w:val="auto"/>
          <w:szCs w:val="22"/>
        </w:rPr>
      </w:pPr>
    </w:p>
    <w:p w14:paraId="59D57EA8">
      <w:pPr>
        <w:pStyle w:val="56"/>
        <w:rPr>
          <w:rFonts w:ascii="Calibri" w:hAnsi="Calibri"/>
          <w:color w:val="auto"/>
          <w:szCs w:val="22"/>
        </w:rPr>
      </w:pPr>
    </w:p>
    <w:p w14:paraId="7866C25D">
      <w:pPr>
        <w:rPr>
          <w:rFonts w:ascii="Calibri" w:hAnsi="Calibri"/>
          <w:color w:val="auto"/>
          <w:szCs w:val="22"/>
        </w:rPr>
      </w:pPr>
    </w:p>
    <w:p w14:paraId="6DF73401">
      <w:pPr>
        <w:pStyle w:val="56"/>
        <w:rPr>
          <w:rFonts w:ascii="Calibri" w:hAnsi="Calibri"/>
          <w:color w:val="auto"/>
          <w:szCs w:val="22"/>
        </w:rPr>
      </w:pPr>
    </w:p>
    <w:p w14:paraId="5BB83A3A">
      <w:pPr>
        <w:rPr>
          <w:rFonts w:ascii="Calibri" w:hAnsi="Calibri"/>
          <w:color w:val="auto"/>
          <w:szCs w:val="22"/>
        </w:rPr>
      </w:pPr>
    </w:p>
    <w:p w14:paraId="0944F9D4">
      <w:pPr>
        <w:pStyle w:val="56"/>
        <w:rPr>
          <w:rFonts w:ascii="Calibri" w:hAnsi="Calibri"/>
          <w:color w:val="auto"/>
          <w:szCs w:val="22"/>
        </w:rPr>
      </w:pPr>
    </w:p>
    <w:p w14:paraId="141F9E2F">
      <w:pPr>
        <w:rPr>
          <w:rFonts w:ascii="Calibri" w:hAnsi="Calibri"/>
          <w:color w:val="auto"/>
          <w:szCs w:val="22"/>
        </w:rPr>
      </w:pPr>
    </w:p>
    <w:p w14:paraId="62347A2F">
      <w:pPr>
        <w:pStyle w:val="56"/>
        <w:rPr>
          <w:rFonts w:ascii="Calibri" w:hAnsi="Calibri"/>
          <w:color w:val="auto"/>
          <w:szCs w:val="22"/>
        </w:rPr>
      </w:pPr>
    </w:p>
    <w:p w14:paraId="50057720">
      <w:pPr>
        <w:rPr>
          <w:rFonts w:ascii="Calibri" w:hAnsi="Calibri"/>
          <w:color w:val="auto"/>
          <w:szCs w:val="22"/>
        </w:rPr>
      </w:pPr>
    </w:p>
    <w:p w14:paraId="0A90DED1">
      <w:pPr>
        <w:pStyle w:val="56"/>
        <w:rPr>
          <w:rFonts w:ascii="Calibri" w:hAnsi="Calibri"/>
          <w:color w:val="auto"/>
          <w:szCs w:val="22"/>
        </w:rPr>
      </w:pPr>
    </w:p>
    <w:p w14:paraId="63ED58F9">
      <w:pPr>
        <w:rPr>
          <w:rFonts w:ascii="Calibri" w:hAnsi="Calibri"/>
          <w:color w:val="auto"/>
          <w:szCs w:val="22"/>
        </w:rPr>
      </w:pPr>
    </w:p>
    <w:p w14:paraId="605EEE23">
      <w:pPr>
        <w:spacing w:line="360" w:lineRule="auto"/>
        <w:ind w:right="-233" w:rightChars="-111"/>
        <w:jc w:val="center"/>
        <w:rPr>
          <w:rFonts w:ascii="宋体" w:hAnsi="宋体"/>
          <w:b/>
          <w:color w:val="auto"/>
          <w:sz w:val="30"/>
          <w:szCs w:val="30"/>
        </w:rPr>
      </w:pPr>
      <w:r>
        <w:rPr>
          <w:rFonts w:hint="eastAsia" w:ascii="宋体" w:hAnsi="宋体"/>
          <w:b/>
          <w:color w:val="auto"/>
          <w:sz w:val="30"/>
          <w:szCs w:val="30"/>
        </w:rPr>
        <w:t>第五章 图纸、技术资料及附件</w:t>
      </w:r>
      <w:bookmarkEnd w:id="515"/>
      <w:bookmarkEnd w:id="516"/>
    </w:p>
    <w:p w14:paraId="44ACE346">
      <w:pPr>
        <w:spacing w:line="360" w:lineRule="auto"/>
        <w:jc w:val="center"/>
        <w:rPr>
          <w:rFonts w:ascii="宋体" w:hAnsi="宋体"/>
          <w:color w:val="auto"/>
        </w:rPr>
      </w:pPr>
    </w:p>
    <w:bookmarkEnd w:id="517"/>
    <w:p w14:paraId="24FD120F">
      <w:pPr>
        <w:spacing w:line="360" w:lineRule="auto"/>
        <w:rPr>
          <w:rFonts w:ascii="宋体" w:hAnsi="宋体"/>
          <w:b/>
          <w:bCs/>
          <w:color w:val="auto"/>
          <w:sz w:val="32"/>
        </w:rPr>
      </w:pPr>
    </w:p>
    <w:p w14:paraId="19C11C35">
      <w:pPr>
        <w:rPr>
          <w:rFonts w:ascii="宋体" w:hAnsi="宋体"/>
          <w:b/>
          <w:color w:val="auto"/>
          <w:sz w:val="30"/>
          <w:szCs w:val="30"/>
        </w:rPr>
      </w:pPr>
      <w:bookmarkStart w:id="518" w:name="_Toc404174021"/>
      <w:bookmarkStart w:id="519" w:name="_Toc286661175"/>
      <w:bookmarkStart w:id="520" w:name="_Toc404159963"/>
      <w:r>
        <w:rPr>
          <w:rFonts w:hint="eastAsia" w:ascii="宋体" w:hAnsi="宋体"/>
          <w:b/>
          <w:color w:val="auto"/>
          <w:sz w:val="30"/>
          <w:szCs w:val="30"/>
        </w:rPr>
        <w:br w:type="page"/>
      </w:r>
    </w:p>
    <w:bookmarkEnd w:id="518"/>
    <w:bookmarkEnd w:id="519"/>
    <w:bookmarkEnd w:id="520"/>
    <w:p w14:paraId="3F4DB99D">
      <w:pPr>
        <w:spacing w:line="360" w:lineRule="auto"/>
        <w:ind w:right="-233" w:rightChars="-111"/>
        <w:jc w:val="center"/>
        <w:rPr>
          <w:rFonts w:ascii="宋体" w:hAnsi="宋体"/>
          <w:b/>
          <w:color w:val="auto"/>
          <w:sz w:val="30"/>
          <w:szCs w:val="30"/>
        </w:rPr>
      </w:pPr>
      <w:bookmarkStart w:id="521" w:name="_Toc404174022"/>
      <w:bookmarkStart w:id="522" w:name="_Toc404159964"/>
      <w:r>
        <w:rPr>
          <w:rFonts w:hint="eastAsia" w:ascii="宋体" w:hAnsi="宋体"/>
          <w:b/>
          <w:color w:val="auto"/>
          <w:sz w:val="30"/>
          <w:szCs w:val="30"/>
        </w:rPr>
        <w:t>第六章 投标文件格式</w:t>
      </w:r>
    </w:p>
    <w:p w14:paraId="70365798">
      <w:pPr>
        <w:spacing w:line="500" w:lineRule="exact"/>
        <w:jc w:val="center"/>
        <w:rPr>
          <w:rFonts w:ascii="宋体" w:hAnsi="宋体"/>
          <w:b/>
          <w:bCs/>
          <w:color w:val="auto"/>
          <w:sz w:val="32"/>
        </w:rPr>
      </w:pPr>
      <w:bookmarkStart w:id="523" w:name="_Toc286661178"/>
    </w:p>
    <w:bookmarkEnd w:id="523"/>
    <w:p w14:paraId="23C4C918">
      <w:pPr>
        <w:pStyle w:val="304"/>
        <w:spacing w:line="360" w:lineRule="auto"/>
        <w:jc w:val="center"/>
        <w:rPr>
          <w:rFonts w:asciiTheme="minorEastAsia" w:hAnsiTheme="minorEastAsia" w:eastAsiaTheme="minorEastAsia"/>
          <w:color w:val="auto"/>
        </w:rPr>
      </w:pPr>
      <w:bookmarkStart w:id="524" w:name="_Toc426532682"/>
      <w:bookmarkStart w:id="525" w:name="_Toc426470568"/>
      <w:bookmarkStart w:id="526" w:name="_Toc450896043"/>
      <w:r>
        <w:rPr>
          <w:rFonts w:hint="eastAsia" w:asciiTheme="minorEastAsia" w:hAnsiTheme="minorEastAsia" w:eastAsiaTheme="minorEastAsia"/>
          <w:color w:val="auto"/>
        </w:rPr>
        <w:t>法定代表人身份证明书</w:t>
      </w:r>
      <w:bookmarkEnd w:id="524"/>
      <w:bookmarkEnd w:id="525"/>
      <w:bookmarkEnd w:id="526"/>
    </w:p>
    <w:p w14:paraId="71D61839">
      <w:pPr>
        <w:pStyle w:val="12"/>
        <w:spacing w:line="360" w:lineRule="auto"/>
        <w:ind w:firstLine="0"/>
        <w:jc w:val="center"/>
        <w:rPr>
          <w:rFonts w:asciiTheme="minorEastAsia" w:hAnsiTheme="minorEastAsia" w:eastAsiaTheme="minorEastAsia"/>
          <w:color w:val="auto"/>
          <w:sz w:val="30"/>
        </w:rPr>
      </w:pPr>
    </w:p>
    <w:p w14:paraId="503E4AE5">
      <w:pPr>
        <w:pStyle w:val="12"/>
        <w:spacing w:line="360" w:lineRule="auto"/>
        <w:ind w:firstLine="840" w:firstLineChars="350"/>
        <w:rPr>
          <w:rFonts w:asciiTheme="minorEastAsia" w:hAnsiTheme="minorEastAsia" w:eastAsiaTheme="minorEastAsia"/>
          <w:color w:val="auto"/>
          <w:u w:val="single"/>
        </w:rPr>
      </w:pPr>
      <w:r>
        <w:rPr>
          <w:rFonts w:hint="eastAsia" w:asciiTheme="minorEastAsia" w:hAnsiTheme="minorEastAsia" w:eastAsiaTheme="minorEastAsia"/>
          <w:color w:val="auto"/>
        </w:rPr>
        <w:t>投标人名称：</w:t>
      </w:r>
      <w:r>
        <w:rPr>
          <w:rFonts w:hint="eastAsia" w:asciiTheme="minorEastAsia" w:hAnsiTheme="minorEastAsia" w:eastAsiaTheme="minorEastAsia"/>
          <w:color w:val="auto"/>
          <w:u w:val="single"/>
        </w:rPr>
        <w:t xml:space="preserve">                   </w:t>
      </w:r>
    </w:p>
    <w:p w14:paraId="3CDE6BA4">
      <w:pPr>
        <w:pStyle w:val="12"/>
        <w:spacing w:line="360" w:lineRule="auto"/>
        <w:ind w:firstLine="840" w:firstLineChars="350"/>
        <w:rPr>
          <w:rFonts w:asciiTheme="minorEastAsia" w:hAnsiTheme="minorEastAsia" w:eastAsiaTheme="minorEastAsia"/>
          <w:color w:val="auto"/>
        </w:rPr>
      </w:pPr>
      <w:r>
        <w:rPr>
          <w:rFonts w:hint="eastAsia" w:asciiTheme="minorEastAsia" w:hAnsiTheme="minorEastAsia" w:eastAsiaTheme="minorEastAsia"/>
          <w:color w:val="auto"/>
        </w:rPr>
        <w:t>单位性质：</w:t>
      </w:r>
      <w:r>
        <w:rPr>
          <w:rFonts w:hint="eastAsia" w:asciiTheme="minorEastAsia" w:hAnsiTheme="minorEastAsia" w:eastAsiaTheme="minorEastAsia"/>
          <w:color w:val="auto"/>
          <w:u w:val="single"/>
        </w:rPr>
        <w:t xml:space="preserve">                   </w:t>
      </w:r>
    </w:p>
    <w:p w14:paraId="63DB1B23">
      <w:pPr>
        <w:pStyle w:val="12"/>
        <w:spacing w:line="360" w:lineRule="auto"/>
        <w:ind w:firstLine="840" w:firstLineChars="350"/>
        <w:rPr>
          <w:rFonts w:asciiTheme="minorEastAsia" w:hAnsiTheme="minorEastAsia" w:eastAsiaTheme="minorEastAsia"/>
          <w:color w:val="auto"/>
        </w:rPr>
      </w:pPr>
      <w:r>
        <w:rPr>
          <w:rFonts w:hint="eastAsia" w:asciiTheme="minorEastAsia" w:hAnsiTheme="minorEastAsia" w:eastAsiaTheme="minorEastAsia"/>
          <w:color w:val="auto"/>
        </w:rPr>
        <w:t>地    址：</w:t>
      </w:r>
      <w:r>
        <w:rPr>
          <w:rFonts w:hint="eastAsia" w:asciiTheme="minorEastAsia" w:hAnsiTheme="minorEastAsia" w:eastAsiaTheme="minorEastAsia"/>
          <w:color w:val="auto"/>
          <w:u w:val="single"/>
        </w:rPr>
        <w:t xml:space="preserve">                   </w:t>
      </w:r>
    </w:p>
    <w:p w14:paraId="5D9878D1">
      <w:pPr>
        <w:pStyle w:val="12"/>
        <w:spacing w:line="360" w:lineRule="auto"/>
        <w:ind w:firstLine="840" w:firstLineChars="350"/>
        <w:rPr>
          <w:rFonts w:asciiTheme="minorEastAsia" w:hAnsiTheme="minorEastAsia" w:eastAsiaTheme="minorEastAsia"/>
          <w:color w:val="auto"/>
          <w:u w:val="single"/>
        </w:rPr>
      </w:pPr>
      <w:r>
        <w:rPr>
          <w:rFonts w:hint="eastAsia" w:asciiTheme="minorEastAsia" w:hAnsiTheme="minorEastAsia" w:eastAsiaTheme="minorEastAsia"/>
          <w:color w:val="auto"/>
        </w:rPr>
        <w:t>成立时间：</w:t>
      </w:r>
      <w:r>
        <w:rPr>
          <w:rFonts w:hint="eastAsia" w:asciiTheme="minorEastAsia" w:hAnsiTheme="minorEastAsia" w:eastAsiaTheme="minorEastAsia"/>
          <w:color w:val="auto"/>
          <w:u w:val="single"/>
        </w:rPr>
        <w:t xml:space="preserve">                   </w:t>
      </w:r>
    </w:p>
    <w:p w14:paraId="1E824375">
      <w:pPr>
        <w:pStyle w:val="12"/>
        <w:spacing w:line="360" w:lineRule="auto"/>
        <w:ind w:firstLine="840" w:firstLineChars="350"/>
        <w:rPr>
          <w:rFonts w:asciiTheme="minorEastAsia" w:hAnsiTheme="minorEastAsia" w:eastAsiaTheme="minorEastAsia"/>
          <w:color w:val="auto"/>
          <w:u w:val="single"/>
        </w:rPr>
      </w:pPr>
      <w:r>
        <w:rPr>
          <w:rFonts w:hint="eastAsia" w:asciiTheme="minorEastAsia" w:hAnsiTheme="minorEastAsia" w:eastAsiaTheme="minorEastAsia"/>
          <w:color w:val="auto"/>
        </w:rPr>
        <w:t>经营期限：</w:t>
      </w:r>
      <w:r>
        <w:rPr>
          <w:rFonts w:hint="eastAsia" w:asciiTheme="minorEastAsia" w:hAnsiTheme="minorEastAsia" w:eastAsiaTheme="minorEastAsia"/>
          <w:color w:val="auto"/>
          <w:u w:val="single"/>
        </w:rPr>
        <w:t xml:space="preserve">                   </w:t>
      </w:r>
    </w:p>
    <w:p w14:paraId="53E6F4EF">
      <w:pPr>
        <w:pStyle w:val="12"/>
        <w:spacing w:line="360" w:lineRule="auto"/>
        <w:ind w:firstLine="840" w:firstLineChars="350"/>
        <w:rPr>
          <w:rFonts w:asciiTheme="minorEastAsia" w:hAnsiTheme="minorEastAsia" w:eastAsiaTheme="minorEastAsia"/>
          <w:color w:val="auto"/>
          <w:u w:val="single"/>
        </w:rPr>
      </w:pPr>
      <w:r>
        <w:rPr>
          <w:rFonts w:hint="eastAsia" w:asciiTheme="minorEastAsia" w:hAnsiTheme="minorEastAsia" w:eastAsiaTheme="minorEastAsia"/>
          <w:color w:val="auto"/>
        </w:rPr>
        <w:t>姓    名：</w:t>
      </w:r>
      <w:r>
        <w:rPr>
          <w:rFonts w:hint="eastAsia" w:asciiTheme="minorEastAsia" w:hAnsiTheme="minorEastAsia" w:eastAsiaTheme="minorEastAsia"/>
          <w:color w:val="auto"/>
          <w:u w:val="single"/>
        </w:rPr>
        <w:t xml:space="preserve">          </w:t>
      </w:r>
      <w:r>
        <w:rPr>
          <w:rFonts w:hint="eastAsia" w:asciiTheme="minorEastAsia" w:hAnsiTheme="minorEastAsia" w:eastAsiaTheme="minorEastAsia"/>
          <w:color w:val="auto"/>
        </w:rPr>
        <w:t>性别：</w:t>
      </w:r>
      <w:r>
        <w:rPr>
          <w:rFonts w:hint="eastAsia" w:asciiTheme="minorEastAsia" w:hAnsiTheme="minorEastAsia" w:eastAsiaTheme="minorEastAsia"/>
          <w:color w:val="auto"/>
          <w:u w:val="single"/>
        </w:rPr>
        <w:t xml:space="preserve">        </w:t>
      </w:r>
      <w:r>
        <w:rPr>
          <w:rFonts w:hint="eastAsia" w:asciiTheme="minorEastAsia" w:hAnsiTheme="minorEastAsia" w:eastAsiaTheme="minorEastAsia"/>
          <w:color w:val="auto"/>
        </w:rPr>
        <w:t xml:space="preserve"> 年龄：</w:t>
      </w:r>
      <w:r>
        <w:rPr>
          <w:rFonts w:hint="eastAsia" w:asciiTheme="minorEastAsia" w:hAnsiTheme="minorEastAsia" w:eastAsiaTheme="minorEastAsia"/>
          <w:color w:val="auto"/>
          <w:u w:val="single"/>
        </w:rPr>
        <w:t xml:space="preserve">        </w:t>
      </w:r>
    </w:p>
    <w:p w14:paraId="314B21BD">
      <w:pPr>
        <w:pStyle w:val="12"/>
        <w:spacing w:line="360" w:lineRule="auto"/>
        <w:ind w:firstLine="840" w:firstLineChars="350"/>
        <w:rPr>
          <w:rFonts w:asciiTheme="minorEastAsia" w:hAnsiTheme="minorEastAsia" w:eastAsiaTheme="minorEastAsia"/>
          <w:color w:val="auto"/>
          <w:u w:val="single"/>
        </w:rPr>
      </w:pPr>
      <w:r>
        <w:rPr>
          <w:rFonts w:hint="eastAsia" w:asciiTheme="minorEastAsia" w:hAnsiTheme="minorEastAsia" w:eastAsiaTheme="minorEastAsia"/>
          <w:color w:val="auto"/>
        </w:rPr>
        <w:t>职务</w:t>
      </w:r>
      <w:r>
        <w:rPr>
          <w:rFonts w:hint="eastAsia" w:asciiTheme="minorEastAsia" w:hAnsiTheme="minorEastAsia" w:eastAsiaTheme="minorEastAsia"/>
          <w:color w:val="auto"/>
          <w:u w:val="single"/>
        </w:rPr>
        <w:t xml:space="preserve">                   </w:t>
      </w:r>
      <w:r>
        <w:rPr>
          <w:rFonts w:hint="eastAsia" w:asciiTheme="minorEastAsia" w:hAnsiTheme="minorEastAsia" w:eastAsiaTheme="minorEastAsia"/>
          <w:color w:val="auto"/>
        </w:rPr>
        <w:t>： 系：</w:t>
      </w:r>
      <w:r>
        <w:rPr>
          <w:rFonts w:hint="eastAsia" w:asciiTheme="minorEastAsia" w:hAnsiTheme="minorEastAsia" w:eastAsiaTheme="minorEastAsia"/>
          <w:color w:val="auto"/>
          <w:u w:val="single"/>
        </w:rPr>
        <w:t xml:space="preserve">     (投标人单位名称) </w:t>
      </w:r>
    </w:p>
    <w:p w14:paraId="1C6D8B09">
      <w:pPr>
        <w:pStyle w:val="12"/>
        <w:spacing w:line="360" w:lineRule="auto"/>
        <w:ind w:firstLine="840" w:firstLineChars="350"/>
        <w:rPr>
          <w:rFonts w:asciiTheme="minorEastAsia" w:hAnsiTheme="minorEastAsia" w:eastAsiaTheme="minorEastAsia"/>
          <w:color w:val="auto"/>
        </w:rPr>
      </w:pPr>
      <w:r>
        <w:rPr>
          <w:rFonts w:hint="eastAsia" w:asciiTheme="minorEastAsia" w:hAnsiTheme="minorEastAsia" w:eastAsiaTheme="minorEastAsia"/>
          <w:color w:val="auto"/>
        </w:rPr>
        <w:t>的法定代表人。</w:t>
      </w:r>
    </w:p>
    <w:p w14:paraId="438B4A18">
      <w:pPr>
        <w:pStyle w:val="12"/>
        <w:spacing w:line="360" w:lineRule="auto"/>
        <w:ind w:firstLine="480" w:firstLineChars="200"/>
        <w:rPr>
          <w:rFonts w:asciiTheme="minorEastAsia" w:hAnsiTheme="minorEastAsia" w:eastAsiaTheme="minorEastAsia"/>
          <w:color w:val="auto"/>
        </w:rPr>
      </w:pPr>
    </w:p>
    <w:p w14:paraId="0FF26DD9">
      <w:pPr>
        <w:pStyle w:val="12"/>
        <w:spacing w:line="360" w:lineRule="auto"/>
        <w:ind w:firstLine="480" w:firstLineChars="200"/>
        <w:rPr>
          <w:rFonts w:asciiTheme="minorEastAsia" w:hAnsiTheme="minorEastAsia" w:eastAsiaTheme="minorEastAsia"/>
          <w:color w:val="auto"/>
        </w:rPr>
      </w:pPr>
    </w:p>
    <w:p w14:paraId="511DA003">
      <w:pPr>
        <w:pStyle w:val="12"/>
        <w:spacing w:line="360" w:lineRule="auto"/>
        <w:ind w:firstLine="480" w:firstLineChars="200"/>
        <w:rPr>
          <w:rFonts w:asciiTheme="minorEastAsia" w:hAnsiTheme="minorEastAsia" w:eastAsiaTheme="minorEastAsia"/>
          <w:color w:val="auto"/>
        </w:rPr>
      </w:pPr>
    </w:p>
    <w:p w14:paraId="241824C9">
      <w:pPr>
        <w:pStyle w:val="12"/>
        <w:spacing w:line="360" w:lineRule="auto"/>
        <w:ind w:firstLine="840" w:firstLineChars="350"/>
        <w:rPr>
          <w:rFonts w:asciiTheme="minorEastAsia" w:hAnsiTheme="minorEastAsia" w:eastAsiaTheme="minorEastAsia"/>
          <w:color w:val="auto"/>
        </w:rPr>
      </w:pPr>
      <w:r>
        <w:rPr>
          <w:rFonts w:hint="eastAsia" w:asciiTheme="minorEastAsia" w:hAnsiTheme="minorEastAsia" w:eastAsiaTheme="minorEastAsia"/>
          <w:color w:val="auto"/>
        </w:rPr>
        <w:t>特此证明</w:t>
      </w:r>
    </w:p>
    <w:p w14:paraId="2C8D778A">
      <w:pPr>
        <w:pStyle w:val="12"/>
        <w:spacing w:line="360" w:lineRule="auto"/>
        <w:ind w:firstLine="480" w:firstLineChars="200"/>
        <w:rPr>
          <w:rFonts w:asciiTheme="minorEastAsia" w:hAnsiTheme="minorEastAsia" w:eastAsiaTheme="minorEastAsia"/>
          <w:color w:val="auto"/>
        </w:rPr>
      </w:pPr>
    </w:p>
    <w:p w14:paraId="646EE244">
      <w:pPr>
        <w:pStyle w:val="12"/>
        <w:spacing w:line="360" w:lineRule="auto"/>
        <w:ind w:firstLine="480" w:firstLineChars="200"/>
        <w:rPr>
          <w:rFonts w:asciiTheme="minorEastAsia" w:hAnsiTheme="minorEastAsia" w:eastAsiaTheme="minorEastAsia"/>
          <w:color w:val="auto"/>
        </w:rPr>
      </w:pPr>
    </w:p>
    <w:p w14:paraId="0FD296EC">
      <w:pPr>
        <w:pStyle w:val="12"/>
        <w:spacing w:line="360" w:lineRule="auto"/>
        <w:ind w:firstLine="3840" w:firstLineChars="1600"/>
        <w:rPr>
          <w:rFonts w:asciiTheme="minorEastAsia" w:hAnsiTheme="minorEastAsia" w:eastAsiaTheme="minorEastAsia"/>
          <w:color w:val="auto"/>
        </w:rPr>
      </w:pPr>
      <w:r>
        <w:rPr>
          <w:rFonts w:hint="eastAsia" w:asciiTheme="minorEastAsia" w:hAnsiTheme="minorEastAsia" w:eastAsiaTheme="minorEastAsia"/>
          <w:color w:val="auto"/>
        </w:rPr>
        <w:t>投标人(</w:t>
      </w:r>
      <w:r>
        <w:rPr>
          <w:rFonts w:hint="eastAsia" w:asciiTheme="minorEastAsia" w:hAnsiTheme="minorEastAsia" w:eastAsiaTheme="minorEastAsia"/>
          <w:color w:val="auto"/>
          <w:sz w:val="25"/>
        </w:rPr>
        <w:t>盖单位公章</w:t>
      </w:r>
      <w:r>
        <w:rPr>
          <w:rFonts w:hint="eastAsia" w:asciiTheme="minorEastAsia" w:hAnsiTheme="minorEastAsia" w:eastAsiaTheme="minorEastAsia"/>
          <w:color w:val="auto"/>
        </w:rPr>
        <w:t>)：</w:t>
      </w:r>
    </w:p>
    <w:p w14:paraId="6BEC09C6">
      <w:pPr>
        <w:pStyle w:val="12"/>
        <w:spacing w:line="360" w:lineRule="auto"/>
        <w:ind w:firstLine="3840" w:firstLineChars="1600"/>
        <w:rPr>
          <w:rFonts w:asciiTheme="minorEastAsia" w:hAnsiTheme="minorEastAsia" w:eastAsiaTheme="minorEastAsia"/>
          <w:color w:val="auto"/>
        </w:rPr>
      </w:pPr>
    </w:p>
    <w:p w14:paraId="6A9ABBF7">
      <w:pPr>
        <w:pStyle w:val="12"/>
        <w:spacing w:line="360" w:lineRule="auto"/>
        <w:ind w:firstLine="3840" w:firstLineChars="1600"/>
        <w:rPr>
          <w:rFonts w:asciiTheme="minorEastAsia" w:hAnsiTheme="minorEastAsia" w:eastAsiaTheme="minorEastAsia"/>
          <w:color w:val="auto"/>
        </w:rPr>
      </w:pPr>
      <w:r>
        <w:rPr>
          <w:rFonts w:hint="eastAsia" w:asciiTheme="minorEastAsia" w:hAnsiTheme="minorEastAsia" w:eastAsiaTheme="minorEastAsia"/>
          <w:color w:val="auto"/>
        </w:rPr>
        <w:t>日   期：   年   月   日</w:t>
      </w:r>
    </w:p>
    <w:p w14:paraId="0FC1D078">
      <w:pPr>
        <w:pStyle w:val="12"/>
        <w:spacing w:line="360" w:lineRule="auto"/>
        <w:ind w:firstLine="0"/>
        <w:rPr>
          <w:rFonts w:asciiTheme="minorEastAsia" w:hAnsiTheme="minorEastAsia" w:eastAsiaTheme="minorEastAsia"/>
          <w:color w:val="auto"/>
          <w:sz w:val="25"/>
        </w:rPr>
      </w:pPr>
    </w:p>
    <w:p w14:paraId="51A55AC0">
      <w:pPr>
        <w:pStyle w:val="12"/>
        <w:spacing w:line="360" w:lineRule="auto"/>
        <w:ind w:firstLine="0"/>
        <w:jc w:val="center"/>
        <w:rPr>
          <w:rFonts w:asciiTheme="minorEastAsia" w:hAnsiTheme="minorEastAsia" w:eastAsiaTheme="minorEastAsia"/>
          <w:color w:val="auto"/>
          <w:sz w:val="25"/>
        </w:rPr>
      </w:pPr>
    </w:p>
    <w:p w14:paraId="0CFD38B0">
      <w:pPr>
        <w:pStyle w:val="12"/>
        <w:spacing w:line="360" w:lineRule="auto"/>
        <w:ind w:firstLine="0"/>
        <w:rPr>
          <w:rFonts w:asciiTheme="minorEastAsia" w:hAnsiTheme="minorEastAsia" w:eastAsiaTheme="minorEastAsia"/>
          <w:color w:val="auto"/>
          <w:sz w:val="25"/>
        </w:rPr>
      </w:pPr>
      <w:r>
        <w:rPr>
          <w:rFonts w:hint="eastAsia" w:asciiTheme="minorEastAsia" w:hAnsiTheme="minorEastAsia" w:eastAsiaTheme="minorEastAsia"/>
          <w:color w:val="auto"/>
          <w:sz w:val="25"/>
        </w:rPr>
        <w:t>附法定代表人身份证复印件</w:t>
      </w:r>
    </w:p>
    <w:p w14:paraId="577F2710">
      <w:pPr>
        <w:pStyle w:val="12"/>
        <w:spacing w:line="360" w:lineRule="auto"/>
        <w:ind w:firstLine="0"/>
        <w:jc w:val="center"/>
        <w:rPr>
          <w:rFonts w:asciiTheme="minorEastAsia" w:hAnsiTheme="minorEastAsia" w:eastAsiaTheme="minorEastAsia"/>
          <w:color w:val="auto"/>
          <w:sz w:val="25"/>
        </w:rPr>
      </w:pPr>
    </w:p>
    <w:p w14:paraId="0499ACC8">
      <w:pPr>
        <w:pStyle w:val="12"/>
        <w:spacing w:line="360" w:lineRule="auto"/>
        <w:ind w:firstLine="0"/>
        <w:jc w:val="center"/>
        <w:rPr>
          <w:rFonts w:asciiTheme="minorEastAsia" w:hAnsiTheme="minorEastAsia" w:eastAsiaTheme="minorEastAsia"/>
          <w:color w:val="auto"/>
          <w:sz w:val="25"/>
        </w:rPr>
      </w:pPr>
    </w:p>
    <w:p w14:paraId="58897A8E">
      <w:pPr>
        <w:pStyle w:val="304"/>
        <w:spacing w:line="360" w:lineRule="auto"/>
        <w:jc w:val="center"/>
        <w:rPr>
          <w:rFonts w:asciiTheme="minorEastAsia" w:hAnsiTheme="minorEastAsia" w:eastAsiaTheme="minorEastAsia"/>
          <w:color w:val="auto"/>
        </w:rPr>
      </w:pPr>
      <w:bookmarkStart w:id="527" w:name="_Toc426532683"/>
      <w:bookmarkStart w:id="528" w:name="_Toc450896044"/>
      <w:bookmarkStart w:id="529" w:name="_Toc426470569"/>
      <w:r>
        <w:rPr>
          <w:rFonts w:hint="eastAsia" w:asciiTheme="minorEastAsia" w:hAnsiTheme="minorEastAsia" w:eastAsiaTheme="minorEastAsia"/>
          <w:color w:val="auto"/>
        </w:rPr>
        <w:t>授权委托书</w:t>
      </w:r>
      <w:bookmarkEnd w:id="527"/>
      <w:bookmarkEnd w:id="528"/>
      <w:bookmarkEnd w:id="529"/>
    </w:p>
    <w:p w14:paraId="7F06282F">
      <w:pPr>
        <w:pStyle w:val="12"/>
        <w:spacing w:line="360" w:lineRule="auto"/>
        <w:ind w:firstLine="480"/>
        <w:rPr>
          <w:rFonts w:asciiTheme="minorEastAsia" w:hAnsiTheme="minorEastAsia" w:eastAsiaTheme="minorEastAsia"/>
          <w:color w:val="auto"/>
          <w:sz w:val="25"/>
        </w:rPr>
      </w:pPr>
    </w:p>
    <w:p w14:paraId="17329F9F">
      <w:pPr>
        <w:pStyle w:val="12"/>
        <w:spacing w:line="360" w:lineRule="auto"/>
        <w:ind w:firstLine="500" w:firstLineChars="200"/>
        <w:rPr>
          <w:rFonts w:asciiTheme="minorEastAsia" w:hAnsiTheme="minorEastAsia" w:eastAsiaTheme="minorEastAsia"/>
          <w:color w:val="auto"/>
          <w:sz w:val="25"/>
        </w:rPr>
      </w:pPr>
      <w:r>
        <w:rPr>
          <w:rFonts w:hint="eastAsia" w:asciiTheme="minorEastAsia" w:hAnsiTheme="minorEastAsia" w:eastAsiaTheme="minorEastAsia"/>
          <w:color w:val="auto"/>
          <w:sz w:val="25"/>
        </w:rPr>
        <w:t>本人</w:t>
      </w:r>
      <w:r>
        <w:rPr>
          <w:rFonts w:hint="eastAsia" w:asciiTheme="minorEastAsia" w:hAnsiTheme="minorEastAsia" w:eastAsiaTheme="minorEastAsia"/>
          <w:color w:val="auto"/>
          <w:u w:val="single"/>
        </w:rPr>
        <w:t xml:space="preserve">         </w:t>
      </w:r>
      <w:r>
        <w:rPr>
          <w:rFonts w:asciiTheme="minorEastAsia" w:hAnsiTheme="minorEastAsia" w:eastAsiaTheme="minorEastAsia"/>
          <w:color w:val="auto"/>
          <w:sz w:val="25"/>
        </w:rPr>
        <w:t>(</w:t>
      </w:r>
      <w:r>
        <w:rPr>
          <w:rFonts w:hint="eastAsia" w:asciiTheme="minorEastAsia" w:hAnsiTheme="minorEastAsia" w:eastAsiaTheme="minorEastAsia"/>
          <w:color w:val="auto"/>
          <w:sz w:val="25"/>
        </w:rPr>
        <w:t>姓名</w:t>
      </w:r>
      <w:r>
        <w:rPr>
          <w:rFonts w:asciiTheme="minorEastAsia" w:hAnsiTheme="minorEastAsia" w:eastAsiaTheme="minorEastAsia"/>
          <w:color w:val="auto"/>
          <w:sz w:val="25"/>
        </w:rPr>
        <w:t>)</w:t>
      </w:r>
      <w:r>
        <w:rPr>
          <w:rFonts w:hint="eastAsia" w:asciiTheme="minorEastAsia" w:hAnsiTheme="minorEastAsia" w:eastAsiaTheme="minorEastAsia"/>
          <w:color w:val="auto"/>
          <w:sz w:val="25"/>
        </w:rPr>
        <w:t>系</w:t>
      </w:r>
      <w:r>
        <w:rPr>
          <w:rFonts w:hint="eastAsia" w:asciiTheme="minorEastAsia" w:hAnsiTheme="minorEastAsia" w:eastAsiaTheme="minorEastAsia"/>
          <w:color w:val="auto"/>
          <w:u w:val="single"/>
        </w:rPr>
        <w:t xml:space="preserve">          </w:t>
      </w:r>
      <w:r>
        <w:rPr>
          <w:rFonts w:asciiTheme="minorEastAsia" w:hAnsiTheme="minorEastAsia" w:eastAsiaTheme="minorEastAsia"/>
          <w:color w:val="auto"/>
          <w:sz w:val="25"/>
        </w:rPr>
        <w:t>(</w:t>
      </w:r>
      <w:r>
        <w:rPr>
          <w:rFonts w:hint="eastAsia" w:asciiTheme="minorEastAsia" w:hAnsiTheme="minorEastAsia" w:eastAsiaTheme="minorEastAsia"/>
          <w:color w:val="auto"/>
          <w:sz w:val="25"/>
        </w:rPr>
        <w:t>投标人单位名称</w:t>
      </w:r>
      <w:r>
        <w:rPr>
          <w:rFonts w:asciiTheme="minorEastAsia" w:hAnsiTheme="minorEastAsia" w:eastAsiaTheme="minorEastAsia"/>
          <w:color w:val="auto"/>
          <w:sz w:val="25"/>
        </w:rPr>
        <w:t>)</w:t>
      </w:r>
      <w:r>
        <w:rPr>
          <w:rFonts w:hint="eastAsia" w:asciiTheme="minorEastAsia" w:hAnsiTheme="minorEastAsia" w:eastAsiaTheme="minorEastAsia"/>
          <w:color w:val="auto"/>
          <w:sz w:val="25"/>
        </w:rPr>
        <w:t>的法定代表人，现授权委托</w:t>
      </w:r>
      <w:r>
        <w:rPr>
          <w:rFonts w:hint="eastAsia" w:asciiTheme="minorEastAsia" w:hAnsiTheme="minorEastAsia" w:eastAsiaTheme="minorEastAsia"/>
          <w:color w:val="auto"/>
          <w:u w:val="single"/>
        </w:rPr>
        <w:t xml:space="preserve">          </w:t>
      </w:r>
      <w:r>
        <w:rPr>
          <w:rFonts w:asciiTheme="minorEastAsia" w:hAnsiTheme="minorEastAsia" w:eastAsiaTheme="minorEastAsia"/>
          <w:color w:val="auto"/>
          <w:sz w:val="25"/>
        </w:rPr>
        <w:t>(</w:t>
      </w:r>
      <w:r>
        <w:rPr>
          <w:rFonts w:hint="eastAsia" w:asciiTheme="minorEastAsia" w:hAnsiTheme="minorEastAsia" w:eastAsiaTheme="minorEastAsia"/>
          <w:color w:val="auto"/>
          <w:sz w:val="25"/>
        </w:rPr>
        <w:t>姓名</w:t>
      </w:r>
      <w:r>
        <w:rPr>
          <w:rFonts w:asciiTheme="minorEastAsia" w:hAnsiTheme="minorEastAsia" w:eastAsiaTheme="minorEastAsia"/>
          <w:color w:val="auto"/>
          <w:sz w:val="25"/>
        </w:rPr>
        <w:t>)</w:t>
      </w:r>
      <w:r>
        <w:rPr>
          <w:rFonts w:hint="eastAsia" w:asciiTheme="minorEastAsia" w:hAnsiTheme="minorEastAsia" w:eastAsiaTheme="minorEastAsia"/>
          <w:color w:val="auto"/>
          <w:u w:val="single"/>
        </w:rPr>
        <w:t xml:space="preserve">          </w:t>
      </w:r>
      <w:r>
        <w:rPr>
          <w:rFonts w:hint="eastAsia" w:asciiTheme="minorEastAsia" w:hAnsiTheme="minorEastAsia" w:eastAsiaTheme="minorEastAsia"/>
          <w:color w:val="auto"/>
          <w:sz w:val="25"/>
        </w:rPr>
        <w:t>（身份证号：</w:t>
      </w:r>
      <w:r>
        <w:rPr>
          <w:rFonts w:hint="eastAsia" w:asciiTheme="minorEastAsia" w:hAnsiTheme="minorEastAsia" w:eastAsiaTheme="minorEastAsia"/>
          <w:color w:val="auto"/>
          <w:u w:val="single"/>
        </w:rPr>
        <w:t xml:space="preserve">          </w:t>
      </w:r>
      <w:r>
        <w:rPr>
          <w:rFonts w:asciiTheme="minorEastAsia" w:hAnsiTheme="minorEastAsia" w:eastAsiaTheme="minorEastAsia"/>
          <w:color w:val="auto"/>
          <w:sz w:val="25"/>
        </w:rPr>
        <w:t>)</w:t>
      </w:r>
      <w:r>
        <w:rPr>
          <w:rFonts w:hint="eastAsia" w:asciiTheme="minorEastAsia" w:hAnsiTheme="minorEastAsia" w:eastAsiaTheme="minorEastAsia"/>
          <w:color w:val="auto"/>
          <w:sz w:val="25"/>
        </w:rPr>
        <w:t>为我方代理人。代理人根据授权，以我方名义签署、澄清、说明、补正、撤回、修改</w:t>
      </w:r>
      <w:r>
        <w:rPr>
          <w:rFonts w:asciiTheme="minorEastAsia" w:hAnsiTheme="minorEastAsia" w:eastAsiaTheme="minorEastAsia"/>
          <w:color w:val="auto"/>
          <w:sz w:val="25"/>
        </w:rPr>
        <w:t>(</w:t>
      </w:r>
      <w:r>
        <w:rPr>
          <w:rFonts w:hint="eastAsia" w:asciiTheme="minorEastAsia" w:hAnsiTheme="minorEastAsia" w:eastAsiaTheme="minorEastAsia"/>
          <w:color w:val="auto"/>
          <w:sz w:val="25"/>
        </w:rPr>
        <w:t>项目名称</w:t>
      </w:r>
      <w:r>
        <w:rPr>
          <w:rFonts w:asciiTheme="minorEastAsia" w:hAnsiTheme="minorEastAsia" w:eastAsiaTheme="minorEastAsia"/>
          <w:color w:val="auto"/>
          <w:sz w:val="25"/>
        </w:rPr>
        <w:t>)</w:t>
      </w:r>
      <w:r>
        <w:rPr>
          <w:rFonts w:hint="eastAsia" w:asciiTheme="minorEastAsia" w:hAnsiTheme="minorEastAsia" w:eastAsiaTheme="minorEastAsia"/>
          <w:color w:val="auto"/>
          <w:sz w:val="25"/>
        </w:rPr>
        <w:t>施工投标文件，签订合同和处理有关事宜，其法律后果由我方承担。</w:t>
      </w:r>
    </w:p>
    <w:p w14:paraId="07C230C0">
      <w:pPr>
        <w:pStyle w:val="12"/>
        <w:spacing w:line="360" w:lineRule="auto"/>
        <w:ind w:firstLine="500" w:firstLineChars="200"/>
        <w:rPr>
          <w:rFonts w:asciiTheme="minorEastAsia" w:hAnsiTheme="minorEastAsia" w:eastAsiaTheme="minorEastAsia"/>
          <w:color w:val="auto"/>
          <w:sz w:val="25"/>
          <w:u w:val="single"/>
        </w:rPr>
      </w:pPr>
      <w:r>
        <w:rPr>
          <w:rFonts w:hint="eastAsia" w:asciiTheme="minorEastAsia" w:hAnsiTheme="minorEastAsia" w:eastAsiaTheme="minorEastAsia"/>
          <w:color w:val="auto"/>
          <w:sz w:val="25"/>
        </w:rPr>
        <w:t>委托期限：</w:t>
      </w:r>
      <w:r>
        <w:rPr>
          <w:rFonts w:hint="eastAsia" w:asciiTheme="minorEastAsia" w:hAnsiTheme="minorEastAsia" w:eastAsiaTheme="minorEastAsia"/>
          <w:color w:val="auto"/>
          <w:u w:val="single"/>
        </w:rPr>
        <w:t xml:space="preserve">          </w:t>
      </w:r>
    </w:p>
    <w:p w14:paraId="31684623">
      <w:pPr>
        <w:pStyle w:val="12"/>
        <w:spacing w:line="360" w:lineRule="auto"/>
        <w:ind w:firstLine="500" w:firstLineChars="200"/>
        <w:rPr>
          <w:rFonts w:asciiTheme="minorEastAsia" w:hAnsiTheme="minorEastAsia" w:eastAsiaTheme="minorEastAsia"/>
          <w:color w:val="auto"/>
          <w:sz w:val="25"/>
        </w:rPr>
      </w:pPr>
      <w:r>
        <w:rPr>
          <w:rFonts w:hint="eastAsia" w:asciiTheme="minorEastAsia" w:hAnsiTheme="minorEastAsia" w:eastAsiaTheme="minorEastAsia"/>
          <w:color w:val="auto"/>
          <w:sz w:val="25"/>
        </w:rPr>
        <w:t>代理人无转委托权。</w:t>
      </w:r>
    </w:p>
    <w:p w14:paraId="4AEE7830">
      <w:pPr>
        <w:pStyle w:val="12"/>
        <w:spacing w:line="360" w:lineRule="auto"/>
        <w:ind w:firstLine="500" w:firstLineChars="200"/>
        <w:rPr>
          <w:rFonts w:asciiTheme="minorEastAsia" w:hAnsiTheme="minorEastAsia" w:eastAsiaTheme="minorEastAsia"/>
          <w:color w:val="auto"/>
          <w:sz w:val="25"/>
        </w:rPr>
      </w:pPr>
      <w:r>
        <w:rPr>
          <w:rFonts w:hint="eastAsia" w:asciiTheme="minorEastAsia" w:hAnsiTheme="minorEastAsia" w:eastAsiaTheme="minorEastAsia"/>
          <w:color w:val="auto"/>
          <w:sz w:val="25"/>
        </w:rPr>
        <w:t>代理人：</w:t>
      </w:r>
      <w:r>
        <w:rPr>
          <w:rFonts w:hint="eastAsia" w:asciiTheme="minorEastAsia" w:hAnsiTheme="minorEastAsia" w:eastAsiaTheme="minorEastAsia"/>
          <w:color w:val="auto"/>
          <w:u w:val="single"/>
        </w:rPr>
        <w:t xml:space="preserve">          </w:t>
      </w:r>
      <w:r>
        <w:rPr>
          <w:rFonts w:hint="eastAsia" w:asciiTheme="minorEastAsia" w:hAnsiTheme="minorEastAsia" w:eastAsiaTheme="minorEastAsia"/>
          <w:color w:val="auto"/>
          <w:sz w:val="25"/>
        </w:rPr>
        <w:t>性别：</w:t>
      </w:r>
      <w:r>
        <w:rPr>
          <w:rFonts w:hint="eastAsia" w:asciiTheme="minorEastAsia" w:hAnsiTheme="minorEastAsia" w:eastAsiaTheme="minorEastAsia"/>
          <w:color w:val="auto"/>
          <w:u w:val="single"/>
        </w:rPr>
        <w:t xml:space="preserve">          </w:t>
      </w:r>
      <w:r>
        <w:rPr>
          <w:rFonts w:hint="eastAsia" w:asciiTheme="minorEastAsia" w:hAnsiTheme="minorEastAsia" w:eastAsiaTheme="minorEastAsia"/>
          <w:color w:val="auto"/>
          <w:sz w:val="25"/>
        </w:rPr>
        <w:t>年龄：</w:t>
      </w:r>
      <w:r>
        <w:rPr>
          <w:rFonts w:hint="eastAsia" w:asciiTheme="minorEastAsia" w:hAnsiTheme="minorEastAsia" w:eastAsiaTheme="minorEastAsia"/>
          <w:color w:val="auto"/>
          <w:u w:val="single"/>
        </w:rPr>
        <w:t xml:space="preserve">          </w:t>
      </w:r>
    </w:p>
    <w:p w14:paraId="7A37050E">
      <w:pPr>
        <w:pStyle w:val="12"/>
        <w:spacing w:line="360" w:lineRule="auto"/>
        <w:ind w:firstLine="500" w:firstLineChars="200"/>
        <w:rPr>
          <w:rFonts w:asciiTheme="minorEastAsia" w:hAnsiTheme="minorEastAsia" w:eastAsiaTheme="minorEastAsia"/>
          <w:color w:val="auto"/>
          <w:sz w:val="25"/>
          <w:u w:val="single"/>
        </w:rPr>
      </w:pPr>
      <w:r>
        <w:rPr>
          <w:rFonts w:hint="eastAsia" w:asciiTheme="minorEastAsia" w:hAnsiTheme="minorEastAsia" w:eastAsiaTheme="minorEastAsia"/>
          <w:color w:val="auto"/>
          <w:sz w:val="25"/>
        </w:rPr>
        <w:t>代理人单位：</w:t>
      </w:r>
      <w:r>
        <w:rPr>
          <w:rFonts w:hint="eastAsia" w:asciiTheme="minorEastAsia" w:hAnsiTheme="minorEastAsia" w:eastAsiaTheme="minorEastAsia"/>
          <w:color w:val="auto"/>
          <w:u w:val="single"/>
        </w:rPr>
        <w:t xml:space="preserve">          </w:t>
      </w:r>
      <w:r>
        <w:rPr>
          <w:rFonts w:hint="eastAsia" w:asciiTheme="minorEastAsia" w:hAnsiTheme="minorEastAsia" w:eastAsiaTheme="minorEastAsia"/>
          <w:color w:val="auto"/>
          <w:sz w:val="25"/>
        </w:rPr>
        <w:t>部门：</w:t>
      </w:r>
      <w:r>
        <w:rPr>
          <w:rFonts w:hint="eastAsia" w:asciiTheme="minorEastAsia" w:hAnsiTheme="minorEastAsia" w:eastAsiaTheme="minorEastAsia"/>
          <w:color w:val="auto"/>
          <w:u w:val="single"/>
        </w:rPr>
        <w:t xml:space="preserve">          </w:t>
      </w:r>
      <w:r>
        <w:rPr>
          <w:rFonts w:hint="eastAsia" w:asciiTheme="minorEastAsia" w:hAnsiTheme="minorEastAsia" w:eastAsiaTheme="minorEastAsia"/>
          <w:color w:val="auto"/>
          <w:sz w:val="25"/>
        </w:rPr>
        <w:t>职务：</w:t>
      </w:r>
      <w:r>
        <w:rPr>
          <w:rFonts w:hint="eastAsia" w:asciiTheme="minorEastAsia" w:hAnsiTheme="minorEastAsia" w:eastAsiaTheme="minorEastAsia"/>
          <w:color w:val="auto"/>
          <w:u w:val="single"/>
        </w:rPr>
        <w:t xml:space="preserve">          </w:t>
      </w:r>
      <w:r>
        <w:rPr>
          <w:rFonts w:hint="eastAsia" w:asciiTheme="minorEastAsia" w:hAnsiTheme="minorEastAsia" w:eastAsiaTheme="minorEastAsia"/>
          <w:color w:val="auto"/>
          <w:sz w:val="25"/>
        </w:rPr>
        <w:t>联系电话：</w:t>
      </w:r>
      <w:r>
        <w:rPr>
          <w:rFonts w:hint="eastAsia" w:asciiTheme="minorEastAsia" w:hAnsiTheme="minorEastAsia" w:eastAsiaTheme="minorEastAsia"/>
          <w:color w:val="auto"/>
          <w:u w:val="single"/>
        </w:rPr>
        <w:t xml:space="preserve">          </w:t>
      </w:r>
    </w:p>
    <w:p w14:paraId="6FDB7752">
      <w:pPr>
        <w:pStyle w:val="12"/>
        <w:spacing w:line="360" w:lineRule="auto"/>
        <w:ind w:firstLine="0"/>
        <w:rPr>
          <w:rFonts w:asciiTheme="minorEastAsia" w:hAnsiTheme="minorEastAsia" w:eastAsiaTheme="minorEastAsia"/>
          <w:color w:val="auto"/>
          <w:sz w:val="25"/>
        </w:rPr>
      </w:pPr>
    </w:p>
    <w:p w14:paraId="0C83C47E">
      <w:pPr>
        <w:pStyle w:val="12"/>
        <w:spacing w:line="360" w:lineRule="auto"/>
        <w:ind w:firstLine="0"/>
        <w:rPr>
          <w:rFonts w:asciiTheme="minorEastAsia" w:hAnsiTheme="minorEastAsia" w:eastAsiaTheme="minorEastAsia"/>
          <w:color w:val="auto"/>
          <w:sz w:val="25"/>
        </w:rPr>
      </w:pPr>
    </w:p>
    <w:p w14:paraId="1027DA6F">
      <w:pPr>
        <w:pStyle w:val="12"/>
        <w:spacing w:line="360" w:lineRule="auto"/>
        <w:ind w:firstLine="0"/>
        <w:rPr>
          <w:rFonts w:asciiTheme="minorEastAsia" w:hAnsiTheme="minorEastAsia" w:eastAsiaTheme="minorEastAsia"/>
          <w:color w:val="auto"/>
          <w:sz w:val="25"/>
        </w:rPr>
      </w:pPr>
    </w:p>
    <w:p w14:paraId="5FD85BE7">
      <w:pPr>
        <w:pStyle w:val="12"/>
        <w:spacing w:line="360" w:lineRule="auto"/>
        <w:ind w:firstLine="0"/>
        <w:rPr>
          <w:rFonts w:asciiTheme="minorEastAsia" w:hAnsiTheme="minorEastAsia" w:eastAsiaTheme="minorEastAsia"/>
          <w:color w:val="auto"/>
          <w:sz w:val="25"/>
        </w:rPr>
      </w:pPr>
    </w:p>
    <w:p w14:paraId="4AB161BE">
      <w:pPr>
        <w:pStyle w:val="12"/>
        <w:spacing w:line="360" w:lineRule="auto"/>
        <w:ind w:firstLine="0"/>
        <w:jc w:val="center"/>
        <w:rPr>
          <w:rFonts w:asciiTheme="minorEastAsia" w:hAnsiTheme="minorEastAsia" w:eastAsiaTheme="minorEastAsia"/>
          <w:color w:val="auto"/>
          <w:sz w:val="25"/>
        </w:rPr>
      </w:pPr>
      <w:r>
        <w:rPr>
          <w:rFonts w:hint="eastAsia" w:asciiTheme="minorEastAsia" w:hAnsiTheme="minorEastAsia" w:eastAsiaTheme="minorEastAsia"/>
          <w:color w:val="auto"/>
          <w:sz w:val="25"/>
        </w:rPr>
        <w:t xml:space="preserve">                投标人：</w:t>
      </w:r>
      <w:r>
        <w:rPr>
          <w:rFonts w:asciiTheme="minorEastAsia" w:hAnsiTheme="minorEastAsia" w:eastAsiaTheme="minorEastAsia"/>
          <w:color w:val="auto"/>
          <w:sz w:val="25"/>
        </w:rPr>
        <w:t>(</w:t>
      </w:r>
      <w:r>
        <w:rPr>
          <w:rFonts w:hint="eastAsia" w:asciiTheme="minorEastAsia" w:hAnsiTheme="minorEastAsia" w:eastAsiaTheme="minorEastAsia"/>
          <w:color w:val="auto"/>
          <w:sz w:val="25"/>
        </w:rPr>
        <w:t>盖单位公章</w:t>
      </w:r>
      <w:r>
        <w:rPr>
          <w:rFonts w:asciiTheme="minorEastAsia" w:hAnsiTheme="minorEastAsia" w:eastAsiaTheme="minorEastAsia"/>
          <w:color w:val="auto"/>
          <w:sz w:val="25"/>
        </w:rPr>
        <w:t>)</w:t>
      </w:r>
    </w:p>
    <w:p w14:paraId="06621AB1">
      <w:pPr>
        <w:pStyle w:val="12"/>
        <w:spacing w:line="360" w:lineRule="auto"/>
        <w:ind w:firstLine="0"/>
        <w:jc w:val="center"/>
        <w:rPr>
          <w:rFonts w:asciiTheme="minorEastAsia" w:hAnsiTheme="minorEastAsia" w:eastAsiaTheme="minorEastAsia"/>
          <w:color w:val="auto"/>
          <w:sz w:val="25"/>
        </w:rPr>
      </w:pPr>
    </w:p>
    <w:p w14:paraId="708CBA0D">
      <w:pPr>
        <w:pStyle w:val="12"/>
        <w:spacing w:line="360" w:lineRule="auto"/>
        <w:ind w:firstLine="0"/>
        <w:jc w:val="center"/>
        <w:rPr>
          <w:rFonts w:asciiTheme="minorEastAsia" w:hAnsiTheme="minorEastAsia" w:eastAsiaTheme="minorEastAsia"/>
          <w:color w:val="auto"/>
          <w:sz w:val="25"/>
          <w:u w:val="single"/>
        </w:rPr>
      </w:pPr>
      <w:r>
        <w:rPr>
          <w:rFonts w:hint="eastAsia" w:asciiTheme="minorEastAsia" w:hAnsiTheme="minorEastAsia" w:eastAsiaTheme="minorEastAsia"/>
          <w:color w:val="auto"/>
          <w:sz w:val="25"/>
        </w:rPr>
        <w:t xml:space="preserve">                    法定代表人：</w:t>
      </w:r>
      <w:r>
        <w:rPr>
          <w:rFonts w:asciiTheme="minorEastAsia" w:hAnsiTheme="minorEastAsia" w:eastAsiaTheme="minorEastAsia"/>
          <w:color w:val="auto"/>
          <w:sz w:val="25"/>
        </w:rPr>
        <w:t>(</w:t>
      </w:r>
      <w:r>
        <w:rPr>
          <w:rFonts w:hint="eastAsia" w:asciiTheme="minorEastAsia" w:hAnsiTheme="minorEastAsia" w:eastAsiaTheme="minorEastAsia"/>
          <w:color w:val="auto"/>
          <w:sz w:val="25"/>
        </w:rPr>
        <w:t>签字或印章</w:t>
      </w:r>
      <w:r>
        <w:rPr>
          <w:rFonts w:asciiTheme="minorEastAsia" w:hAnsiTheme="minorEastAsia" w:eastAsiaTheme="minorEastAsia"/>
          <w:color w:val="auto"/>
          <w:sz w:val="25"/>
        </w:rPr>
        <w:t>)</w:t>
      </w:r>
    </w:p>
    <w:p w14:paraId="52219834">
      <w:pPr>
        <w:pStyle w:val="12"/>
        <w:spacing w:line="360" w:lineRule="auto"/>
        <w:ind w:firstLine="480"/>
        <w:rPr>
          <w:rFonts w:asciiTheme="minorEastAsia" w:hAnsiTheme="minorEastAsia" w:eastAsiaTheme="minorEastAsia"/>
          <w:color w:val="auto"/>
          <w:sz w:val="25"/>
        </w:rPr>
      </w:pPr>
    </w:p>
    <w:p w14:paraId="2C025D63">
      <w:pPr>
        <w:pStyle w:val="12"/>
        <w:spacing w:line="360" w:lineRule="auto"/>
        <w:ind w:right="500" w:firstLine="4250" w:firstLineChars="1700"/>
        <w:rPr>
          <w:rFonts w:asciiTheme="minorEastAsia" w:hAnsiTheme="minorEastAsia" w:eastAsiaTheme="minorEastAsia"/>
          <w:color w:val="auto"/>
          <w:sz w:val="25"/>
          <w:u w:val="single"/>
        </w:rPr>
      </w:pPr>
      <w:r>
        <w:rPr>
          <w:rFonts w:hint="eastAsia" w:asciiTheme="minorEastAsia" w:hAnsiTheme="minorEastAsia" w:eastAsiaTheme="minorEastAsia"/>
          <w:color w:val="auto"/>
          <w:sz w:val="25"/>
        </w:rPr>
        <w:t xml:space="preserve">日期： </w:t>
      </w:r>
    </w:p>
    <w:p w14:paraId="3AC16222">
      <w:pPr>
        <w:pStyle w:val="12"/>
        <w:spacing w:line="360" w:lineRule="auto"/>
        <w:ind w:firstLine="0"/>
        <w:rPr>
          <w:rFonts w:asciiTheme="minorEastAsia" w:hAnsiTheme="minorEastAsia" w:eastAsiaTheme="minorEastAsia"/>
          <w:color w:val="auto"/>
          <w:sz w:val="25"/>
        </w:rPr>
      </w:pPr>
      <w:r>
        <w:rPr>
          <w:rFonts w:hint="eastAsia" w:asciiTheme="minorEastAsia" w:hAnsiTheme="minorEastAsia" w:eastAsiaTheme="minorEastAsia"/>
          <w:color w:val="auto"/>
          <w:sz w:val="25"/>
        </w:rPr>
        <w:t>附授权委托人身份证复印件</w:t>
      </w:r>
    </w:p>
    <w:p w14:paraId="6DB77DD6">
      <w:pPr>
        <w:pStyle w:val="12"/>
        <w:spacing w:line="360" w:lineRule="auto"/>
        <w:ind w:firstLine="0"/>
        <w:rPr>
          <w:rFonts w:asciiTheme="minorEastAsia" w:hAnsiTheme="minorEastAsia" w:eastAsiaTheme="minorEastAsia"/>
          <w:color w:val="auto"/>
          <w:sz w:val="30"/>
        </w:rPr>
      </w:pPr>
    </w:p>
    <w:p w14:paraId="35F0CCCA">
      <w:pPr>
        <w:pStyle w:val="12"/>
        <w:spacing w:line="360" w:lineRule="auto"/>
        <w:ind w:firstLine="0"/>
        <w:rPr>
          <w:rFonts w:asciiTheme="minorEastAsia" w:hAnsiTheme="minorEastAsia" w:eastAsiaTheme="minorEastAsia"/>
          <w:color w:val="auto"/>
          <w:sz w:val="30"/>
        </w:rPr>
      </w:pPr>
    </w:p>
    <w:p w14:paraId="6164A68A">
      <w:pPr>
        <w:pStyle w:val="12"/>
        <w:spacing w:line="360" w:lineRule="auto"/>
        <w:ind w:firstLine="0"/>
        <w:rPr>
          <w:rFonts w:asciiTheme="minorEastAsia" w:hAnsiTheme="minorEastAsia" w:eastAsiaTheme="minorEastAsia"/>
          <w:color w:val="auto"/>
          <w:sz w:val="30"/>
        </w:rPr>
      </w:pPr>
    </w:p>
    <w:p w14:paraId="18EC664F">
      <w:pPr>
        <w:pStyle w:val="12"/>
        <w:spacing w:line="360" w:lineRule="auto"/>
        <w:ind w:firstLine="0"/>
        <w:rPr>
          <w:rFonts w:asciiTheme="minorEastAsia" w:hAnsiTheme="minorEastAsia" w:eastAsiaTheme="minorEastAsia"/>
          <w:color w:val="auto"/>
          <w:sz w:val="30"/>
        </w:rPr>
      </w:pPr>
    </w:p>
    <w:p w14:paraId="12641554">
      <w:pPr>
        <w:pStyle w:val="12"/>
        <w:spacing w:line="360" w:lineRule="auto"/>
        <w:ind w:firstLine="0"/>
        <w:rPr>
          <w:rFonts w:asciiTheme="minorEastAsia" w:hAnsiTheme="minorEastAsia" w:eastAsiaTheme="minorEastAsia"/>
          <w:color w:val="auto"/>
          <w:sz w:val="30"/>
        </w:rPr>
      </w:pPr>
    </w:p>
    <w:p w14:paraId="093E1529">
      <w:pPr>
        <w:pStyle w:val="12"/>
        <w:spacing w:line="360" w:lineRule="auto"/>
        <w:ind w:firstLine="0"/>
        <w:rPr>
          <w:rFonts w:asciiTheme="minorEastAsia" w:hAnsiTheme="minorEastAsia" w:eastAsiaTheme="minorEastAsia"/>
          <w:color w:val="auto"/>
          <w:sz w:val="30"/>
        </w:rPr>
      </w:pPr>
    </w:p>
    <w:p w14:paraId="05AAEE09">
      <w:pPr>
        <w:pStyle w:val="12"/>
        <w:spacing w:line="360" w:lineRule="auto"/>
        <w:ind w:firstLine="0"/>
        <w:rPr>
          <w:rFonts w:asciiTheme="minorEastAsia" w:hAnsiTheme="minorEastAsia" w:eastAsiaTheme="minorEastAsia"/>
          <w:color w:val="auto"/>
          <w:sz w:val="30"/>
        </w:rPr>
      </w:pPr>
    </w:p>
    <w:p w14:paraId="384C8739">
      <w:pPr>
        <w:widowControl/>
        <w:jc w:val="center"/>
        <w:rPr>
          <w:rFonts w:asciiTheme="minorEastAsia" w:hAnsiTheme="minorEastAsia" w:eastAsiaTheme="minorEastAsia" w:cstheme="minorEastAsia"/>
          <w:b/>
          <w:color w:val="auto"/>
          <w:sz w:val="28"/>
        </w:rPr>
      </w:pPr>
      <w:bookmarkStart w:id="530" w:name="_Toc426532684"/>
      <w:bookmarkStart w:id="531" w:name="_Toc426470570"/>
      <w:bookmarkStart w:id="532" w:name="_Toc450896045"/>
      <w:r>
        <w:rPr>
          <w:rFonts w:hint="eastAsia" w:asciiTheme="minorEastAsia" w:hAnsiTheme="minorEastAsia" w:eastAsiaTheme="minorEastAsia" w:cstheme="minorEastAsia"/>
          <w:b/>
          <w:color w:val="auto"/>
          <w:sz w:val="28"/>
        </w:rPr>
        <w:t>服务承诺书</w:t>
      </w:r>
    </w:p>
    <w:p w14:paraId="32863502">
      <w:pPr>
        <w:widowControl/>
        <w:spacing w:line="360" w:lineRule="auto"/>
        <w:ind w:left="2"/>
        <w:rPr>
          <w:rFonts w:asciiTheme="minorEastAsia" w:hAnsiTheme="minorEastAsia" w:eastAsiaTheme="minorEastAsia" w:cstheme="minorEastAsia"/>
          <w:color w:val="auto"/>
          <w:sz w:val="24"/>
          <w:u w:val="single"/>
        </w:rPr>
      </w:pPr>
      <w:r>
        <w:rPr>
          <w:rFonts w:hint="eastAsia" w:asciiTheme="minorEastAsia" w:hAnsiTheme="minorEastAsia" w:eastAsiaTheme="minorEastAsia" w:cstheme="minorEastAsia"/>
          <w:color w:val="auto"/>
          <w:sz w:val="24"/>
          <w:u w:val="single"/>
        </w:rPr>
        <w:t>（招标人）：</w:t>
      </w:r>
    </w:p>
    <w:p w14:paraId="4ED30772">
      <w:pPr>
        <w:widowControl/>
        <w:spacing w:line="360" w:lineRule="auto"/>
        <w:ind w:firstLine="480" w:firstLineChars="200"/>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我方参加你方的</w:t>
      </w:r>
      <w:r>
        <w:rPr>
          <w:rFonts w:hint="eastAsia" w:asciiTheme="minorEastAsia" w:hAnsiTheme="minorEastAsia" w:eastAsiaTheme="minorEastAsia"/>
          <w:color w:val="auto"/>
          <w:u w:val="single"/>
        </w:rPr>
        <w:t xml:space="preserve">             </w:t>
      </w:r>
      <w:r>
        <w:rPr>
          <w:rFonts w:hint="eastAsia" w:asciiTheme="minorEastAsia" w:hAnsiTheme="minorEastAsia" w:eastAsiaTheme="minorEastAsia" w:cstheme="minorEastAsia"/>
          <w:color w:val="auto"/>
          <w:sz w:val="24"/>
        </w:rPr>
        <w:t>（以下简称“本工程”）的投标，现我方法定代表人向你方慎重承诺。</w:t>
      </w:r>
    </w:p>
    <w:p w14:paraId="42760C9C">
      <w:pPr>
        <w:widowControl/>
        <w:spacing w:line="360" w:lineRule="auto"/>
        <w:ind w:firstLine="480" w:firstLineChars="200"/>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我方财务和经营状况良好，具备履行合同能力；没有因骗取中标或者严重违约以及发生重大工程质量、安全生产事故等问题，被有关部门处于被责令停业、投标资格被取消或者财产被接管、冻结和破产状态。如果我方经本工程评标委员会评定为中标候选人后，被他人举报并经招标投标监管机构核实，确认存在上述不良记录，你方即可取消我方中标资格，并同意投标保证金不予退还，并接受处罚。</w:t>
      </w:r>
      <w:r>
        <w:rPr>
          <w:rFonts w:hint="eastAsia" w:asciiTheme="minorEastAsia" w:hAnsiTheme="minorEastAsia" w:eastAsiaTheme="minorEastAsia" w:cstheme="minorEastAsia"/>
          <w:color w:val="auto"/>
          <w:sz w:val="24"/>
        </w:rPr>
        <w:br w:type="textWrapping"/>
      </w:r>
      <w:r>
        <w:rPr>
          <w:rFonts w:hint="eastAsia" w:asciiTheme="minorEastAsia" w:hAnsiTheme="minorEastAsia" w:eastAsiaTheme="minorEastAsia" w:cstheme="minorEastAsia"/>
          <w:color w:val="auto"/>
          <w:sz w:val="24"/>
        </w:rPr>
        <w:t xml:space="preserve">    2、我方递交的投标文件中的所有资料都是真实可信的，没有弄虚作假。</w:t>
      </w:r>
      <w:r>
        <w:rPr>
          <w:rFonts w:hint="eastAsia" w:asciiTheme="minorEastAsia" w:hAnsiTheme="minorEastAsia" w:eastAsiaTheme="minorEastAsia" w:cstheme="minorEastAsia"/>
          <w:color w:val="auto"/>
          <w:sz w:val="24"/>
        </w:rPr>
        <w:br w:type="textWrapping"/>
      </w:r>
      <w:r>
        <w:rPr>
          <w:rFonts w:hint="eastAsia" w:asciiTheme="minorEastAsia" w:hAnsiTheme="minorEastAsia" w:eastAsiaTheme="minorEastAsia" w:cstheme="minorEastAsia"/>
          <w:color w:val="auto"/>
          <w:sz w:val="24"/>
        </w:rPr>
        <w:t xml:space="preserve">    3、我方不组织、不参与串标围标，没有出借资质等违法违规行为。</w:t>
      </w:r>
      <w:r>
        <w:rPr>
          <w:rFonts w:hint="eastAsia" w:asciiTheme="minorEastAsia" w:hAnsiTheme="minorEastAsia" w:eastAsiaTheme="minorEastAsia" w:cstheme="minorEastAsia"/>
          <w:color w:val="auto"/>
          <w:sz w:val="24"/>
        </w:rPr>
        <w:br w:type="textWrapping"/>
      </w:r>
      <w:r>
        <w:rPr>
          <w:rFonts w:hint="eastAsia" w:asciiTheme="minorEastAsia" w:hAnsiTheme="minorEastAsia" w:eastAsiaTheme="minorEastAsia" w:cstheme="minorEastAsia"/>
          <w:color w:val="auto"/>
          <w:sz w:val="24"/>
        </w:rPr>
        <w:t xml:space="preserve">    4、如我方中标，严格按《建设工程安全生产管理条例》等法律、法规采取安全措施、组织施工，对本合同范围内所有施工范围和施工人员负全部安全施工责任。严格按工程建设安全生产地有关管理规定，采取安全措施组织施工。若发生安全事故，一切责任由我方承担。并按文明工地要求，做好场地清理及相关工作。施工现场的材料堆放要整齐，机械停放有序，做到工完料清；遵守环境卫生管理的有关规定，符合清洁卫生要求；定期地将所有建筑垃圾从施工场地清除，并运出场外；交工前，将所有剩余的建筑材料运走或运至指定地点堆放，将所有施工机械和设备从施工场地运走。对因工程施工可能造成损害的毗邻建筑物、构筑物和地下管线等，应当采取专项防护措施。遵守有关环境保护法律、法规的规定，在施工现场采取措施，防止或减少粉尘、废气、废水、固体废物、噪声、振动和施工照明对人和环境的危害和污染。</w:t>
      </w:r>
      <w:r>
        <w:rPr>
          <w:rFonts w:hint="eastAsia" w:asciiTheme="minorEastAsia" w:hAnsiTheme="minorEastAsia" w:eastAsiaTheme="minorEastAsia" w:cstheme="minorEastAsia"/>
          <w:color w:val="auto"/>
          <w:sz w:val="24"/>
        </w:rPr>
        <w:br w:type="textWrapping"/>
      </w:r>
      <w:r>
        <w:rPr>
          <w:rFonts w:hint="eastAsia" w:asciiTheme="minorEastAsia" w:hAnsiTheme="minorEastAsia" w:eastAsiaTheme="minorEastAsia" w:cstheme="minorEastAsia"/>
          <w:color w:val="auto"/>
          <w:sz w:val="24"/>
        </w:rPr>
        <w:t xml:space="preserve">  我方承诺：违反上述任何一条承诺，自愿意接受当地建设行政主管部门及发包方作出的依法处罚，包括同意你方取消我方中标资格并不予退还投标保证金或履约保证金，并计入</w:t>
      </w:r>
      <w:r>
        <w:rPr>
          <w:rFonts w:hint="eastAsia" w:asciiTheme="minorEastAsia" w:hAnsiTheme="minorEastAsia" w:eastAsiaTheme="minorEastAsia" w:cstheme="minorEastAsia"/>
          <w:color w:val="auto"/>
          <w:sz w:val="24"/>
          <w:lang w:val="en-US" w:eastAsia="zh-CN"/>
        </w:rPr>
        <w:t>发包方</w:t>
      </w:r>
      <w:r>
        <w:rPr>
          <w:rFonts w:hint="eastAsia" w:asciiTheme="minorEastAsia" w:hAnsiTheme="minorEastAsia" w:eastAsiaTheme="minorEastAsia" w:cstheme="minorEastAsia"/>
          <w:color w:val="auto"/>
          <w:sz w:val="24"/>
        </w:rPr>
        <w:t>黑名单。</w:t>
      </w:r>
      <w:r>
        <w:rPr>
          <w:rFonts w:hint="eastAsia" w:asciiTheme="minorEastAsia" w:hAnsiTheme="minorEastAsia" w:eastAsiaTheme="minorEastAsia" w:cstheme="minorEastAsia"/>
          <w:color w:val="auto"/>
          <w:sz w:val="24"/>
        </w:rPr>
        <w:br w:type="textWrapping"/>
      </w:r>
    </w:p>
    <w:p w14:paraId="437FB6E3">
      <w:pPr>
        <w:widowControl/>
        <w:spacing w:line="360" w:lineRule="auto"/>
        <w:ind w:left="1138" w:leftChars="542"/>
        <w:jc w:val="right"/>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投标人（</w:t>
      </w:r>
      <w:r>
        <w:rPr>
          <w:rFonts w:hint="eastAsia" w:asciiTheme="minorEastAsia" w:hAnsiTheme="minorEastAsia" w:eastAsiaTheme="minorEastAsia"/>
          <w:color w:val="auto"/>
          <w:sz w:val="25"/>
        </w:rPr>
        <w:t>盖单位公章</w:t>
      </w:r>
      <w:r>
        <w:rPr>
          <w:rFonts w:hint="eastAsia" w:asciiTheme="minorEastAsia" w:hAnsiTheme="minorEastAsia" w:eastAsiaTheme="minorEastAsia" w:cstheme="minorEastAsia"/>
          <w:color w:val="auto"/>
          <w:sz w:val="24"/>
        </w:rPr>
        <w:t>）：</w:t>
      </w:r>
      <w:r>
        <w:rPr>
          <w:rFonts w:hint="eastAsia" w:asciiTheme="minorEastAsia" w:hAnsiTheme="minorEastAsia" w:eastAsiaTheme="minorEastAsia" w:cstheme="minorEastAsia"/>
          <w:color w:val="auto"/>
          <w:sz w:val="24"/>
        </w:rPr>
        <w:br w:type="textWrapping"/>
      </w:r>
      <w:r>
        <w:rPr>
          <w:rFonts w:hint="eastAsia" w:asciiTheme="minorEastAsia" w:hAnsiTheme="minorEastAsia" w:eastAsiaTheme="minorEastAsia" w:cstheme="minorEastAsia"/>
          <w:color w:val="auto"/>
          <w:sz w:val="24"/>
        </w:rPr>
        <w:t>法定代表人（签字或盖章）：</w:t>
      </w:r>
      <w:r>
        <w:rPr>
          <w:rFonts w:hint="eastAsia" w:asciiTheme="minorEastAsia" w:hAnsiTheme="minorEastAsia" w:eastAsiaTheme="minorEastAsia" w:cstheme="minorEastAsia"/>
          <w:color w:val="auto"/>
          <w:sz w:val="24"/>
        </w:rPr>
        <w:br w:type="textWrapping"/>
      </w:r>
      <w:r>
        <w:rPr>
          <w:rFonts w:hint="eastAsia" w:asciiTheme="minorEastAsia" w:hAnsiTheme="minorEastAsia" w:eastAsiaTheme="minorEastAsia" w:cstheme="minorEastAsia"/>
          <w:color w:val="auto"/>
          <w:sz w:val="24"/>
        </w:rPr>
        <w:t>日期：  年    月   日</w:t>
      </w:r>
    </w:p>
    <w:p w14:paraId="31D916BC">
      <w:pPr>
        <w:widowControl/>
        <w:jc w:val="center"/>
        <w:rPr>
          <w:rFonts w:cs="宋体" w:asciiTheme="minorEastAsia" w:hAnsiTheme="minorEastAsia" w:eastAsiaTheme="minorEastAsia"/>
          <w:b/>
          <w:bCs/>
          <w:color w:val="auto"/>
          <w:sz w:val="32"/>
          <w:szCs w:val="20"/>
        </w:rPr>
      </w:pPr>
    </w:p>
    <w:p w14:paraId="4C9C2C95">
      <w:pPr>
        <w:widowControl/>
        <w:jc w:val="center"/>
        <w:rPr>
          <w:rFonts w:cs="宋体" w:asciiTheme="minorEastAsia" w:hAnsiTheme="minorEastAsia" w:eastAsiaTheme="minorEastAsia"/>
          <w:b/>
          <w:bCs/>
          <w:color w:val="auto"/>
          <w:sz w:val="32"/>
          <w:szCs w:val="20"/>
        </w:rPr>
      </w:pPr>
    </w:p>
    <w:p w14:paraId="72CE1218">
      <w:pPr>
        <w:jc w:val="center"/>
        <w:rPr>
          <w:rFonts w:cs="宋体" w:asciiTheme="minorEastAsia" w:hAnsiTheme="minorEastAsia" w:eastAsiaTheme="minorEastAsia"/>
          <w:b/>
          <w:bCs/>
          <w:color w:val="auto"/>
          <w:sz w:val="32"/>
          <w:szCs w:val="20"/>
        </w:rPr>
      </w:pPr>
      <w:r>
        <w:rPr>
          <w:rFonts w:hint="eastAsia" w:cs="宋体" w:asciiTheme="minorEastAsia" w:hAnsiTheme="minorEastAsia" w:eastAsiaTheme="minorEastAsia"/>
          <w:b/>
          <w:bCs/>
          <w:color w:val="auto"/>
          <w:sz w:val="32"/>
          <w:szCs w:val="20"/>
        </w:rPr>
        <w:br w:type="page"/>
      </w:r>
      <w:r>
        <w:rPr>
          <w:rFonts w:hint="eastAsia" w:cs="宋体" w:asciiTheme="minorEastAsia" w:hAnsiTheme="minorEastAsia" w:eastAsiaTheme="minorEastAsia"/>
          <w:b/>
          <w:bCs/>
          <w:color w:val="auto"/>
          <w:sz w:val="32"/>
          <w:szCs w:val="20"/>
        </w:rPr>
        <w:t>投标函</w:t>
      </w:r>
      <w:bookmarkEnd w:id="530"/>
      <w:bookmarkEnd w:id="531"/>
      <w:bookmarkEnd w:id="532"/>
    </w:p>
    <w:p w14:paraId="5C1BAFA3">
      <w:pPr>
        <w:pStyle w:val="12"/>
        <w:spacing w:line="360" w:lineRule="auto"/>
        <w:rPr>
          <w:rFonts w:asciiTheme="minorEastAsia" w:hAnsiTheme="minorEastAsia" w:eastAsiaTheme="minorEastAsia"/>
          <w:color w:val="auto"/>
          <w:u w:val="single"/>
        </w:rPr>
      </w:pPr>
    </w:p>
    <w:p w14:paraId="6156EF9E">
      <w:pPr>
        <w:pStyle w:val="12"/>
        <w:spacing w:line="360" w:lineRule="auto"/>
        <w:ind w:left="0" w:leftChars="0" w:firstLine="0" w:firstLineChars="0"/>
        <w:rPr>
          <w:rFonts w:asciiTheme="minorEastAsia" w:hAnsiTheme="minorEastAsia" w:eastAsiaTheme="minorEastAsia"/>
          <w:color w:val="auto"/>
          <w:u w:val="single"/>
        </w:rPr>
      </w:pPr>
      <w:r>
        <w:rPr>
          <w:rFonts w:hint="eastAsia" w:asciiTheme="minorEastAsia" w:hAnsiTheme="minorEastAsia" w:eastAsiaTheme="minorEastAsia"/>
          <w:color w:val="auto"/>
          <w:u w:val="single"/>
        </w:rPr>
        <w:t>（招标人）：</w:t>
      </w:r>
    </w:p>
    <w:p w14:paraId="54E067D2">
      <w:pPr>
        <w:pStyle w:val="12"/>
        <w:tabs>
          <w:tab w:val="left" w:pos="312"/>
        </w:tabs>
        <w:spacing w:line="360" w:lineRule="auto"/>
        <w:rPr>
          <w:rFonts w:asciiTheme="minorEastAsia" w:hAnsiTheme="minorEastAsia" w:eastAsiaTheme="minorEastAsia"/>
          <w:color w:val="auto"/>
        </w:rPr>
      </w:pPr>
      <w:r>
        <w:rPr>
          <w:rFonts w:hint="eastAsia" w:asciiTheme="minorEastAsia" w:hAnsiTheme="minorEastAsia" w:eastAsiaTheme="minorEastAsia"/>
          <w:color w:val="auto"/>
        </w:rPr>
        <w:t>（一）根据已收到的工程的招标文件，我单位将遵照《中华人民共和国招标投标法》等有关规定并根据工程招标文件的规定，经考察现场和研究招标文件后，愿以人民币（大写）</w:t>
      </w:r>
      <w:r>
        <w:rPr>
          <w:rFonts w:hint="eastAsia" w:asciiTheme="minorEastAsia" w:hAnsiTheme="minorEastAsia" w:eastAsiaTheme="minorEastAsia"/>
          <w:color w:val="auto"/>
          <w:u w:val="single"/>
        </w:rPr>
        <w:t xml:space="preserve">    </w:t>
      </w:r>
      <w:r>
        <w:rPr>
          <w:rFonts w:asciiTheme="minorEastAsia" w:hAnsiTheme="minorEastAsia" w:eastAsiaTheme="minorEastAsia"/>
          <w:color w:val="auto"/>
          <w:u w:val="single"/>
        </w:rPr>
        <w:t xml:space="preserve">             </w:t>
      </w:r>
      <w:r>
        <w:rPr>
          <w:rFonts w:hint="eastAsia" w:asciiTheme="minorEastAsia" w:hAnsiTheme="minorEastAsia" w:eastAsiaTheme="minorEastAsia"/>
          <w:color w:val="auto"/>
          <w:u w:val="single"/>
        </w:rPr>
        <w:t xml:space="preserve">（小写： </w:t>
      </w:r>
      <w:r>
        <w:rPr>
          <w:rFonts w:asciiTheme="minorEastAsia" w:hAnsiTheme="minorEastAsia" w:eastAsiaTheme="minorEastAsia"/>
          <w:color w:val="auto"/>
          <w:u w:val="single"/>
        </w:rPr>
        <w:t xml:space="preserve">           </w:t>
      </w:r>
      <w:r>
        <w:rPr>
          <w:rFonts w:hint="eastAsia" w:asciiTheme="minorEastAsia" w:hAnsiTheme="minorEastAsia" w:eastAsiaTheme="minorEastAsia"/>
          <w:color w:val="auto"/>
          <w:u w:val="single"/>
        </w:rPr>
        <w:t>）</w:t>
      </w:r>
      <w:r>
        <w:rPr>
          <w:rFonts w:hint="eastAsia" w:asciiTheme="minorEastAsia" w:hAnsiTheme="minorEastAsia" w:eastAsiaTheme="minorEastAsia"/>
          <w:color w:val="auto"/>
        </w:rPr>
        <w:t xml:space="preserve"> 的总价，按招标文件的要求承包本次招标范围内的全部工程。</w:t>
      </w:r>
    </w:p>
    <w:p w14:paraId="0D078FF4">
      <w:pPr>
        <w:pStyle w:val="12"/>
        <w:spacing w:line="360" w:lineRule="auto"/>
        <w:ind w:firstLine="480" w:firstLineChars="200"/>
        <w:rPr>
          <w:rFonts w:asciiTheme="minorEastAsia" w:hAnsiTheme="minorEastAsia" w:eastAsiaTheme="minorEastAsia"/>
          <w:color w:val="auto"/>
          <w:u w:val="single"/>
        </w:rPr>
      </w:pPr>
      <w:r>
        <w:rPr>
          <w:rFonts w:asciiTheme="minorEastAsia" w:hAnsiTheme="minorEastAsia" w:eastAsiaTheme="minorEastAsia"/>
          <w:color w:val="auto"/>
        </w:rPr>
        <w:t>(</w:t>
      </w:r>
      <w:r>
        <w:rPr>
          <w:rFonts w:hint="eastAsia" w:asciiTheme="minorEastAsia" w:hAnsiTheme="minorEastAsia" w:eastAsiaTheme="minorEastAsia"/>
          <w:color w:val="auto"/>
        </w:rPr>
        <w:t>二</w:t>
      </w:r>
      <w:r>
        <w:rPr>
          <w:rFonts w:asciiTheme="minorEastAsia" w:hAnsiTheme="minorEastAsia" w:eastAsiaTheme="minorEastAsia"/>
          <w:color w:val="auto"/>
        </w:rPr>
        <w:t>)</w:t>
      </w:r>
      <w:r>
        <w:rPr>
          <w:rFonts w:hint="eastAsia" w:asciiTheme="minorEastAsia" w:hAnsiTheme="minorEastAsia" w:eastAsiaTheme="minorEastAsia"/>
          <w:color w:val="auto"/>
        </w:rPr>
        <w:t>我单位保证在收到贵单位发出的书面开工令后立即开工，并在</w:t>
      </w:r>
      <w:r>
        <w:rPr>
          <w:rFonts w:hint="eastAsia" w:asciiTheme="minorEastAsia" w:hAnsiTheme="minorEastAsia" w:eastAsiaTheme="minorEastAsia"/>
          <w:color w:val="auto"/>
          <w:u w:val="single"/>
        </w:rPr>
        <w:t xml:space="preserve">    </w:t>
      </w:r>
      <w:r>
        <w:rPr>
          <w:rFonts w:hint="eastAsia" w:asciiTheme="minorEastAsia" w:hAnsiTheme="minorEastAsia" w:eastAsiaTheme="minorEastAsia"/>
          <w:color w:val="auto"/>
        </w:rPr>
        <w:t>日历天内竣工。</w:t>
      </w:r>
    </w:p>
    <w:p w14:paraId="56DCB77A">
      <w:pPr>
        <w:spacing w:line="360" w:lineRule="auto"/>
        <w:ind w:firstLine="480"/>
        <w:rPr>
          <w:rFonts w:asciiTheme="minorEastAsia" w:hAnsiTheme="minorEastAsia" w:eastAsiaTheme="minorEastAsia"/>
          <w:color w:val="auto"/>
          <w:sz w:val="24"/>
        </w:rPr>
      </w:pPr>
      <w:r>
        <w:rPr>
          <w:rFonts w:asciiTheme="minorEastAsia" w:hAnsiTheme="minorEastAsia" w:eastAsiaTheme="minorEastAsia"/>
          <w:color w:val="auto"/>
          <w:sz w:val="24"/>
        </w:rPr>
        <w:t>(</w:t>
      </w:r>
      <w:r>
        <w:rPr>
          <w:rFonts w:hint="eastAsia" w:asciiTheme="minorEastAsia" w:hAnsiTheme="minorEastAsia" w:eastAsiaTheme="minorEastAsia"/>
          <w:color w:val="auto"/>
          <w:sz w:val="24"/>
        </w:rPr>
        <w:t>三</w:t>
      </w:r>
      <w:r>
        <w:rPr>
          <w:rFonts w:asciiTheme="minorEastAsia" w:hAnsiTheme="minorEastAsia" w:eastAsiaTheme="minorEastAsia"/>
          <w:color w:val="auto"/>
          <w:sz w:val="24"/>
        </w:rPr>
        <w:t>)</w:t>
      </w:r>
      <w:r>
        <w:rPr>
          <w:rFonts w:hint="eastAsia" w:asciiTheme="minorEastAsia" w:hAnsiTheme="minorEastAsia" w:eastAsiaTheme="minorEastAsia"/>
          <w:color w:val="auto"/>
          <w:sz w:val="24"/>
        </w:rPr>
        <w:t>我单位保证本工程质量达到</w:t>
      </w:r>
      <w:r>
        <w:rPr>
          <w:rFonts w:hint="eastAsia" w:asciiTheme="minorEastAsia" w:hAnsiTheme="minorEastAsia" w:eastAsiaTheme="minorEastAsia"/>
          <w:color w:val="auto"/>
          <w:u w:val="single"/>
        </w:rPr>
        <w:t xml:space="preserve">    </w:t>
      </w:r>
      <w:r>
        <w:rPr>
          <w:rFonts w:hint="eastAsia" w:asciiTheme="minorEastAsia" w:hAnsiTheme="minorEastAsia" w:eastAsiaTheme="minorEastAsia"/>
          <w:color w:val="auto"/>
          <w:sz w:val="24"/>
        </w:rPr>
        <w:t>。</w:t>
      </w:r>
    </w:p>
    <w:p w14:paraId="04C9B05E">
      <w:pPr>
        <w:pStyle w:val="12"/>
        <w:spacing w:line="360" w:lineRule="auto"/>
        <w:rPr>
          <w:rFonts w:asciiTheme="minorEastAsia" w:hAnsiTheme="minorEastAsia" w:eastAsiaTheme="minorEastAsia"/>
          <w:color w:val="auto"/>
        </w:rPr>
      </w:pPr>
      <w:r>
        <w:rPr>
          <w:rFonts w:asciiTheme="minorEastAsia" w:hAnsiTheme="minorEastAsia" w:eastAsiaTheme="minorEastAsia"/>
          <w:color w:val="auto"/>
        </w:rPr>
        <w:t>(</w:t>
      </w:r>
      <w:r>
        <w:rPr>
          <w:rFonts w:hint="eastAsia" w:asciiTheme="minorEastAsia" w:hAnsiTheme="minorEastAsia" w:eastAsiaTheme="minorEastAsia"/>
          <w:color w:val="auto"/>
        </w:rPr>
        <w:t>四</w:t>
      </w:r>
      <w:r>
        <w:rPr>
          <w:rFonts w:asciiTheme="minorEastAsia" w:hAnsiTheme="minorEastAsia" w:eastAsiaTheme="minorEastAsia"/>
          <w:color w:val="auto"/>
        </w:rPr>
        <w:t>)</w:t>
      </w:r>
      <w:r>
        <w:rPr>
          <w:rFonts w:hint="eastAsia" w:asciiTheme="minorEastAsia" w:hAnsiTheme="minorEastAsia" w:eastAsiaTheme="minorEastAsia"/>
          <w:color w:val="auto"/>
        </w:rPr>
        <w:t>我单位金额为人民币</w:t>
      </w:r>
      <w:r>
        <w:rPr>
          <w:rFonts w:hint="eastAsia" w:asciiTheme="minorEastAsia" w:hAnsiTheme="minorEastAsia" w:eastAsiaTheme="minorEastAsia"/>
          <w:color w:val="auto"/>
          <w:u w:val="single"/>
        </w:rPr>
        <w:t xml:space="preserve">    </w:t>
      </w:r>
      <w:r>
        <w:rPr>
          <w:rFonts w:hint="eastAsia" w:asciiTheme="minorEastAsia" w:hAnsiTheme="minorEastAsia" w:eastAsiaTheme="minorEastAsia"/>
          <w:color w:val="auto"/>
        </w:rPr>
        <w:t>元的投标保证金已按招标文件要求提交。</w:t>
      </w:r>
    </w:p>
    <w:p w14:paraId="64584CFC">
      <w:pPr>
        <w:pStyle w:val="12"/>
        <w:spacing w:line="360" w:lineRule="auto"/>
        <w:rPr>
          <w:rFonts w:asciiTheme="minorEastAsia" w:hAnsiTheme="minorEastAsia" w:eastAsiaTheme="minorEastAsia"/>
          <w:color w:val="auto"/>
        </w:rPr>
      </w:pPr>
      <w:r>
        <w:rPr>
          <w:rFonts w:asciiTheme="minorEastAsia" w:hAnsiTheme="minorEastAsia" w:eastAsiaTheme="minorEastAsia"/>
          <w:color w:val="auto"/>
        </w:rPr>
        <w:t>(</w:t>
      </w:r>
      <w:r>
        <w:rPr>
          <w:rFonts w:hint="eastAsia" w:asciiTheme="minorEastAsia" w:hAnsiTheme="minorEastAsia" w:eastAsiaTheme="minorEastAsia"/>
          <w:color w:val="auto"/>
        </w:rPr>
        <w:t>五</w:t>
      </w:r>
      <w:r>
        <w:rPr>
          <w:rFonts w:asciiTheme="minorEastAsia" w:hAnsiTheme="minorEastAsia" w:eastAsiaTheme="minorEastAsia"/>
          <w:color w:val="auto"/>
        </w:rPr>
        <w:t>)</w:t>
      </w:r>
      <w:r>
        <w:rPr>
          <w:rFonts w:hint="eastAsia" w:asciiTheme="minorEastAsia" w:hAnsiTheme="minorEastAsia" w:eastAsiaTheme="minorEastAsia"/>
          <w:color w:val="auto"/>
        </w:rPr>
        <w:t>如果我单位中标，我方将按照规定提交上述总价</w:t>
      </w:r>
      <w:r>
        <w:rPr>
          <w:rFonts w:hint="eastAsia" w:asciiTheme="minorEastAsia" w:hAnsiTheme="minorEastAsia" w:eastAsiaTheme="minorEastAsia"/>
          <w:color w:val="auto"/>
          <w:u w:val="single"/>
        </w:rPr>
        <w:t xml:space="preserve">   ％</w:t>
      </w:r>
      <w:r>
        <w:rPr>
          <w:rFonts w:hint="eastAsia" w:asciiTheme="minorEastAsia" w:hAnsiTheme="minorEastAsia" w:eastAsiaTheme="minorEastAsia"/>
          <w:color w:val="auto"/>
        </w:rPr>
        <w:t>作为履约担保。</w:t>
      </w:r>
    </w:p>
    <w:p w14:paraId="14EEF128">
      <w:pPr>
        <w:pStyle w:val="12"/>
        <w:spacing w:line="360" w:lineRule="auto"/>
        <w:rPr>
          <w:rFonts w:asciiTheme="minorEastAsia" w:hAnsiTheme="minorEastAsia" w:eastAsiaTheme="minorEastAsia"/>
          <w:color w:val="auto"/>
        </w:rPr>
      </w:pPr>
      <w:r>
        <w:rPr>
          <w:rFonts w:asciiTheme="minorEastAsia" w:hAnsiTheme="minorEastAsia" w:eastAsiaTheme="minorEastAsia"/>
          <w:color w:val="auto"/>
        </w:rPr>
        <w:t>(</w:t>
      </w:r>
      <w:r>
        <w:rPr>
          <w:rFonts w:hint="eastAsia" w:asciiTheme="minorEastAsia" w:hAnsiTheme="minorEastAsia" w:eastAsiaTheme="minorEastAsia"/>
          <w:color w:val="auto"/>
        </w:rPr>
        <w:t>六</w:t>
      </w:r>
      <w:r>
        <w:rPr>
          <w:rFonts w:asciiTheme="minorEastAsia" w:hAnsiTheme="minorEastAsia" w:eastAsiaTheme="minorEastAsia"/>
          <w:color w:val="auto"/>
        </w:rPr>
        <w:t>)</w:t>
      </w:r>
      <w:r>
        <w:rPr>
          <w:rFonts w:hint="eastAsia" w:asciiTheme="minorEastAsia" w:hAnsiTheme="minorEastAsia" w:eastAsiaTheme="minorEastAsia"/>
          <w:color w:val="auto"/>
        </w:rPr>
        <w:t>我单位承诺本工程保修期按规定执行。</w:t>
      </w:r>
    </w:p>
    <w:p w14:paraId="739AFE96">
      <w:pPr>
        <w:pStyle w:val="12"/>
        <w:spacing w:line="360" w:lineRule="auto"/>
        <w:rPr>
          <w:rFonts w:asciiTheme="minorEastAsia" w:hAnsiTheme="minorEastAsia" w:eastAsiaTheme="minorEastAsia"/>
          <w:color w:val="auto"/>
        </w:rPr>
      </w:pPr>
      <w:r>
        <w:rPr>
          <w:rFonts w:asciiTheme="minorEastAsia" w:hAnsiTheme="minorEastAsia" w:eastAsiaTheme="minorEastAsia"/>
          <w:color w:val="auto"/>
        </w:rPr>
        <w:t>(</w:t>
      </w:r>
      <w:r>
        <w:rPr>
          <w:rFonts w:hint="eastAsia" w:asciiTheme="minorEastAsia" w:hAnsiTheme="minorEastAsia" w:eastAsiaTheme="minorEastAsia"/>
          <w:color w:val="auto"/>
        </w:rPr>
        <w:t>七</w:t>
      </w:r>
      <w:r>
        <w:rPr>
          <w:rFonts w:asciiTheme="minorEastAsia" w:hAnsiTheme="minorEastAsia" w:eastAsiaTheme="minorEastAsia"/>
          <w:color w:val="auto"/>
        </w:rPr>
        <w:t>)</w:t>
      </w:r>
      <w:r>
        <w:rPr>
          <w:rFonts w:hint="eastAsia" w:asciiTheme="minorEastAsia" w:hAnsiTheme="minorEastAsia" w:eastAsiaTheme="minorEastAsia"/>
          <w:color w:val="auto"/>
        </w:rPr>
        <w:t>贵单位的招标文件、中标通知书和本投标文件将构成约束我们双方的合同。</w:t>
      </w:r>
    </w:p>
    <w:p w14:paraId="7BACA383">
      <w:pPr>
        <w:pStyle w:val="12"/>
        <w:spacing w:line="360" w:lineRule="auto"/>
        <w:ind w:firstLine="0"/>
        <w:rPr>
          <w:rFonts w:asciiTheme="minorEastAsia" w:hAnsiTheme="minorEastAsia" w:eastAsiaTheme="minorEastAsia"/>
          <w:color w:val="auto"/>
        </w:rPr>
      </w:pPr>
    </w:p>
    <w:p w14:paraId="3462E384">
      <w:pPr>
        <w:pStyle w:val="12"/>
        <w:spacing w:line="360" w:lineRule="auto"/>
        <w:ind w:firstLine="0"/>
        <w:rPr>
          <w:rFonts w:asciiTheme="minorEastAsia" w:hAnsiTheme="minorEastAsia" w:eastAsiaTheme="minorEastAsia"/>
          <w:color w:val="auto"/>
          <w:u w:val="single"/>
        </w:rPr>
      </w:pPr>
      <w:r>
        <w:rPr>
          <w:rFonts w:hint="eastAsia" w:asciiTheme="minorEastAsia" w:hAnsiTheme="minorEastAsia" w:eastAsiaTheme="minorEastAsia"/>
          <w:color w:val="auto"/>
        </w:rPr>
        <w:t>投标人</w:t>
      </w:r>
      <w:r>
        <w:rPr>
          <w:rFonts w:asciiTheme="minorEastAsia" w:hAnsiTheme="minorEastAsia" w:eastAsiaTheme="minorEastAsia"/>
          <w:color w:val="auto"/>
        </w:rPr>
        <w:t>(</w:t>
      </w:r>
      <w:r>
        <w:rPr>
          <w:rFonts w:hint="eastAsia" w:asciiTheme="minorEastAsia" w:hAnsiTheme="minorEastAsia" w:eastAsiaTheme="minorEastAsia"/>
          <w:color w:val="auto"/>
          <w:sz w:val="25"/>
        </w:rPr>
        <w:t>盖单位公章</w:t>
      </w:r>
      <w:r>
        <w:rPr>
          <w:rFonts w:hint="eastAsia" w:asciiTheme="minorEastAsia" w:hAnsiTheme="minorEastAsia" w:eastAsiaTheme="minorEastAsia"/>
          <w:color w:val="auto"/>
        </w:rPr>
        <w:t>)：</w:t>
      </w:r>
    </w:p>
    <w:p w14:paraId="02E1B038">
      <w:pPr>
        <w:pStyle w:val="12"/>
        <w:kinsoku w:val="0"/>
        <w:topLinePunct/>
        <w:autoSpaceDE w:val="0"/>
        <w:autoSpaceDN w:val="0"/>
        <w:snapToGrid w:val="0"/>
        <w:spacing w:line="540" w:lineRule="exact"/>
        <w:ind w:right="210" w:firstLine="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法人代表人或授权委托人</w:t>
      </w:r>
      <w:r>
        <w:rPr>
          <w:rFonts w:asciiTheme="minorEastAsia" w:hAnsiTheme="minorEastAsia" w:eastAsiaTheme="minorEastAsia"/>
          <w:color w:val="auto"/>
          <w:sz w:val="25"/>
        </w:rPr>
        <w:t>(</w:t>
      </w:r>
      <w:r>
        <w:rPr>
          <w:rFonts w:hint="eastAsia" w:asciiTheme="minorEastAsia" w:hAnsiTheme="minorEastAsia" w:eastAsiaTheme="minorEastAsia"/>
          <w:color w:val="auto"/>
          <w:sz w:val="25"/>
        </w:rPr>
        <w:t>签字或印章</w:t>
      </w:r>
      <w:r>
        <w:rPr>
          <w:rFonts w:asciiTheme="minorEastAsia" w:hAnsiTheme="minorEastAsia" w:eastAsiaTheme="minorEastAsia"/>
          <w:color w:val="auto"/>
          <w:sz w:val="25"/>
        </w:rPr>
        <w:t>)</w:t>
      </w:r>
      <w:r>
        <w:rPr>
          <w:rFonts w:hint="eastAsia" w:asciiTheme="minorEastAsia" w:hAnsiTheme="minorEastAsia" w:eastAsiaTheme="minorEastAsia" w:cstheme="minorEastAsia"/>
          <w:color w:val="auto"/>
        </w:rPr>
        <w:t>：</w:t>
      </w:r>
    </w:p>
    <w:p w14:paraId="76ADEC05">
      <w:pPr>
        <w:pStyle w:val="12"/>
        <w:spacing w:line="360" w:lineRule="auto"/>
        <w:ind w:firstLine="0"/>
        <w:rPr>
          <w:rFonts w:asciiTheme="minorEastAsia" w:hAnsiTheme="minorEastAsia" w:eastAsiaTheme="minorEastAsia"/>
          <w:color w:val="auto"/>
        </w:rPr>
      </w:pPr>
      <w:r>
        <w:rPr>
          <w:rFonts w:hint="eastAsia" w:asciiTheme="minorEastAsia" w:hAnsiTheme="minorEastAsia" w:eastAsiaTheme="minorEastAsia"/>
          <w:color w:val="auto"/>
        </w:rPr>
        <w:t>地址：</w:t>
      </w:r>
    </w:p>
    <w:p w14:paraId="1D4217B8">
      <w:pPr>
        <w:pStyle w:val="12"/>
        <w:spacing w:line="360" w:lineRule="auto"/>
        <w:ind w:firstLine="0"/>
        <w:rPr>
          <w:rFonts w:asciiTheme="minorEastAsia" w:hAnsiTheme="minorEastAsia" w:eastAsiaTheme="minorEastAsia"/>
          <w:color w:val="auto"/>
          <w:u w:val="single"/>
        </w:rPr>
      </w:pPr>
      <w:r>
        <w:rPr>
          <w:rFonts w:hint="eastAsia" w:asciiTheme="minorEastAsia" w:hAnsiTheme="minorEastAsia" w:eastAsiaTheme="minorEastAsia"/>
          <w:color w:val="auto"/>
        </w:rPr>
        <w:t>电话：</w:t>
      </w:r>
    </w:p>
    <w:p w14:paraId="3B44EE6E">
      <w:pPr>
        <w:pStyle w:val="12"/>
        <w:spacing w:line="360" w:lineRule="auto"/>
        <w:ind w:firstLine="0"/>
        <w:rPr>
          <w:rFonts w:asciiTheme="minorEastAsia" w:hAnsiTheme="minorEastAsia" w:eastAsiaTheme="minorEastAsia"/>
          <w:color w:val="auto"/>
        </w:rPr>
      </w:pPr>
      <w:r>
        <w:rPr>
          <w:rFonts w:hint="eastAsia" w:asciiTheme="minorEastAsia" w:hAnsiTheme="minorEastAsia" w:eastAsiaTheme="minorEastAsia"/>
          <w:color w:val="auto"/>
        </w:rPr>
        <w:t>邮政编码：</w:t>
      </w:r>
    </w:p>
    <w:p w14:paraId="0DEDAD6A">
      <w:pPr>
        <w:pStyle w:val="12"/>
        <w:spacing w:line="360" w:lineRule="auto"/>
        <w:ind w:firstLine="0"/>
        <w:jc w:val="right"/>
        <w:rPr>
          <w:rFonts w:asciiTheme="minorEastAsia" w:hAnsiTheme="minorEastAsia" w:eastAsiaTheme="minorEastAsia"/>
          <w:color w:val="auto"/>
        </w:rPr>
      </w:pPr>
      <w:r>
        <w:rPr>
          <w:rFonts w:hint="eastAsia" w:asciiTheme="minorEastAsia" w:hAnsiTheme="minorEastAsia" w:eastAsiaTheme="minorEastAsia"/>
          <w:color w:val="auto"/>
        </w:rPr>
        <w:t>日期：     年    月    日</w:t>
      </w:r>
    </w:p>
    <w:p w14:paraId="3D7E2AFF">
      <w:pPr>
        <w:pStyle w:val="12"/>
        <w:spacing w:line="360" w:lineRule="auto"/>
        <w:ind w:firstLine="0"/>
        <w:jc w:val="right"/>
        <w:rPr>
          <w:rFonts w:asciiTheme="minorEastAsia" w:hAnsiTheme="minorEastAsia" w:eastAsiaTheme="minorEastAsia"/>
          <w:color w:val="auto"/>
          <w:sz w:val="25"/>
        </w:rPr>
      </w:pPr>
    </w:p>
    <w:p w14:paraId="09B48678">
      <w:pPr>
        <w:pStyle w:val="147"/>
        <w:spacing w:line="420" w:lineRule="atLeast"/>
        <w:rPr>
          <w:rFonts w:cs="宋体" w:asciiTheme="minorEastAsia" w:hAnsiTheme="minorEastAsia" w:eastAsiaTheme="minorEastAsia"/>
          <w:b/>
          <w:bCs/>
          <w:color w:val="auto"/>
          <w:sz w:val="30"/>
          <w:szCs w:val="24"/>
        </w:rPr>
      </w:pPr>
      <w:bookmarkStart w:id="533" w:name="_Toc286661179"/>
    </w:p>
    <w:p w14:paraId="49157714">
      <w:pPr>
        <w:pStyle w:val="147"/>
        <w:spacing w:line="420" w:lineRule="atLeast"/>
        <w:rPr>
          <w:rFonts w:cs="宋体" w:asciiTheme="minorEastAsia" w:hAnsiTheme="minorEastAsia" w:eastAsiaTheme="minorEastAsia"/>
          <w:b/>
          <w:bCs/>
          <w:color w:val="auto"/>
          <w:sz w:val="30"/>
          <w:szCs w:val="24"/>
        </w:rPr>
      </w:pPr>
    </w:p>
    <w:p w14:paraId="2C9F354B">
      <w:pPr>
        <w:pStyle w:val="147"/>
        <w:spacing w:line="420" w:lineRule="atLeast"/>
        <w:rPr>
          <w:rFonts w:cs="宋体" w:asciiTheme="minorEastAsia" w:hAnsiTheme="minorEastAsia" w:eastAsiaTheme="minorEastAsia"/>
          <w:b/>
          <w:bCs/>
          <w:color w:val="auto"/>
          <w:sz w:val="30"/>
          <w:szCs w:val="24"/>
        </w:rPr>
      </w:pPr>
    </w:p>
    <w:p w14:paraId="34DFFE04">
      <w:pPr>
        <w:pStyle w:val="147"/>
        <w:spacing w:line="420" w:lineRule="atLeast"/>
        <w:rPr>
          <w:rFonts w:cs="宋体" w:asciiTheme="minorEastAsia" w:hAnsiTheme="minorEastAsia" w:eastAsiaTheme="minorEastAsia"/>
          <w:b/>
          <w:bCs/>
          <w:color w:val="auto"/>
          <w:sz w:val="30"/>
          <w:szCs w:val="24"/>
        </w:rPr>
      </w:pPr>
    </w:p>
    <w:p w14:paraId="21CE467D">
      <w:pPr>
        <w:pStyle w:val="147"/>
        <w:spacing w:line="420" w:lineRule="atLeast"/>
        <w:rPr>
          <w:rFonts w:cs="宋体" w:asciiTheme="minorEastAsia" w:hAnsiTheme="minorEastAsia" w:eastAsiaTheme="minorEastAsia"/>
          <w:b/>
          <w:bCs/>
          <w:color w:val="auto"/>
          <w:sz w:val="30"/>
          <w:szCs w:val="24"/>
        </w:rPr>
      </w:pPr>
    </w:p>
    <w:p w14:paraId="227ADF40">
      <w:pPr>
        <w:pStyle w:val="147"/>
        <w:spacing w:line="420" w:lineRule="atLeast"/>
        <w:rPr>
          <w:rFonts w:cs="宋体" w:asciiTheme="minorEastAsia" w:hAnsiTheme="minorEastAsia" w:eastAsiaTheme="minorEastAsia"/>
          <w:b/>
          <w:bCs/>
          <w:color w:val="auto"/>
          <w:sz w:val="30"/>
          <w:szCs w:val="24"/>
        </w:rPr>
      </w:pPr>
      <w:r>
        <w:rPr>
          <w:rFonts w:hint="eastAsia" w:cs="宋体" w:asciiTheme="minorEastAsia" w:hAnsiTheme="minorEastAsia" w:eastAsiaTheme="minorEastAsia"/>
          <w:b/>
          <w:bCs/>
          <w:color w:val="auto"/>
          <w:sz w:val="30"/>
          <w:szCs w:val="24"/>
        </w:rPr>
        <w:t>已标价的工程量清单</w:t>
      </w:r>
      <w:bookmarkEnd w:id="533"/>
    </w:p>
    <w:p w14:paraId="5156C36F">
      <w:pPr>
        <w:pStyle w:val="147"/>
        <w:spacing w:line="420" w:lineRule="atLeast"/>
        <w:jc w:val="both"/>
        <w:outlineLvl w:val="1"/>
        <w:rPr>
          <w:rFonts w:cs="宋体" w:asciiTheme="minorEastAsia" w:hAnsiTheme="minorEastAsia" w:eastAsiaTheme="minorEastAsia"/>
          <w:color w:val="auto"/>
          <w:sz w:val="32"/>
        </w:rPr>
      </w:pPr>
      <w:bookmarkStart w:id="534" w:name="_Toc388540288"/>
      <w:bookmarkStart w:id="535" w:name="_Toc286661199"/>
      <w:bookmarkStart w:id="536" w:name="_Toc354349600"/>
    </w:p>
    <w:p w14:paraId="188030B0">
      <w:pPr>
        <w:pStyle w:val="147"/>
        <w:spacing w:line="420" w:lineRule="atLeast"/>
        <w:outlineLvl w:val="1"/>
        <w:rPr>
          <w:rFonts w:cs="宋体" w:asciiTheme="minorEastAsia" w:hAnsiTheme="minorEastAsia" w:eastAsiaTheme="minorEastAsia"/>
          <w:color w:val="auto"/>
          <w:sz w:val="32"/>
        </w:rPr>
      </w:pPr>
      <w:r>
        <w:rPr>
          <w:rFonts w:hint="eastAsia" w:cs="宋体" w:asciiTheme="minorEastAsia" w:hAnsiTheme="minorEastAsia" w:eastAsiaTheme="minorEastAsia"/>
          <w:color w:val="auto"/>
          <w:sz w:val="32"/>
        </w:rPr>
        <w:t>计划投入的主要施工机械设备表</w:t>
      </w:r>
      <w:bookmarkEnd w:id="534"/>
      <w:bookmarkEnd w:id="535"/>
      <w:bookmarkEnd w:id="536"/>
    </w:p>
    <w:tbl>
      <w:tblPr>
        <w:tblStyle w:val="47"/>
        <w:tblW w:w="9708"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08"/>
        <w:gridCol w:w="1700"/>
        <w:gridCol w:w="700"/>
        <w:gridCol w:w="700"/>
        <w:gridCol w:w="900"/>
        <w:gridCol w:w="900"/>
        <w:gridCol w:w="1100"/>
        <w:gridCol w:w="1100"/>
        <w:gridCol w:w="2100"/>
      </w:tblGrid>
      <w:tr w14:paraId="5AACC4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08" w:type="dxa"/>
          </w:tcPr>
          <w:p w14:paraId="616D4E6D">
            <w:pPr>
              <w:pStyle w:val="12"/>
              <w:keepNext w:val="0"/>
              <w:keepLines w:val="0"/>
              <w:suppressLineNumbers w:val="0"/>
              <w:spacing w:before="0" w:beforeAutospacing="0" w:after="0" w:afterAutospacing="0" w:line="240" w:lineRule="auto"/>
              <w:ind w:left="0" w:right="0" w:firstLine="0"/>
              <w:jc w:val="center"/>
              <w:rPr>
                <w:rFonts w:hint="default" w:cs="宋体" w:asciiTheme="minorEastAsia" w:hAnsiTheme="minorEastAsia" w:eastAsiaTheme="minorEastAsia"/>
                <w:color w:val="auto"/>
                <w:position w:val="-32"/>
              </w:rPr>
            </w:pPr>
            <w:r>
              <w:rPr>
                <w:rFonts w:hint="eastAsia" w:cs="宋体" w:asciiTheme="minorEastAsia" w:hAnsiTheme="minorEastAsia" w:eastAsiaTheme="minorEastAsia"/>
                <w:color w:val="auto"/>
                <w:position w:val="-32"/>
              </w:rPr>
              <w:t>序号</w:t>
            </w:r>
          </w:p>
        </w:tc>
        <w:tc>
          <w:tcPr>
            <w:tcW w:w="1700" w:type="dxa"/>
          </w:tcPr>
          <w:p w14:paraId="517F64C0">
            <w:pPr>
              <w:pStyle w:val="12"/>
              <w:keepNext w:val="0"/>
              <w:keepLines w:val="0"/>
              <w:suppressLineNumbers w:val="0"/>
              <w:spacing w:before="0" w:beforeAutospacing="0" w:after="0" w:afterAutospacing="0" w:line="240" w:lineRule="auto"/>
              <w:ind w:left="0" w:right="0" w:firstLine="0"/>
              <w:jc w:val="center"/>
              <w:rPr>
                <w:rFonts w:hint="default" w:cs="宋体" w:asciiTheme="minorEastAsia" w:hAnsiTheme="minorEastAsia" w:eastAsiaTheme="minorEastAsia"/>
                <w:color w:val="auto"/>
                <w:position w:val="-50"/>
              </w:rPr>
            </w:pPr>
            <w:r>
              <w:rPr>
                <w:rFonts w:hint="eastAsia" w:cs="宋体" w:asciiTheme="minorEastAsia" w:hAnsiTheme="minorEastAsia" w:eastAsiaTheme="minorEastAsia"/>
                <w:color w:val="auto"/>
                <w:position w:val="-50"/>
              </w:rPr>
              <w:t>机械设备名称</w:t>
            </w:r>
          </w:p>
        </w:tc>
        <w:tc>
          <w:tcPr>
            <w:tcW w:w="700" w:type="dxa"/>
          </w:tcPr>
          <w:p w14:paraId="672CF762">
            <w:pPr>
              <w:pStyle w:val="12"/>
              <w:keepNext w:val="0"/>
              <w:keepLines w:val="0"/>
              <w:suppressLineNumbers w:val="0"/>
              <w:spacing w:before="0" w:beforeAutospacing="0" w:after="0" w:afterAutospacing="0" w:line="240" w:lineRule="auto"/>
              <w:ind w:left="0" w:right="0" w:firstLine="0"/>
              <w:jc w:val="center"/>
              <w:rPr>
                <w:rFonts w:hint="default" w:cs="宋体" w:asciiTheme="minorEastAsia" w:hAnsiTheme="minorEastAsia" w:eastAsiaTheme="minorEastAsia"/>
                <w:color w:val="auto"/>
                <w:position w:val="-30"/>
              </w:rPr>
            </w:pPr>
            <w:r>
              <w:rPr>
                <w:rFonts w:hint="eastAsia" w:cs="宋体" w:asciiTheme="minorEastAsia" w:hAnsiTheme="minorEastAsia" w:eastAsiaTheme="minorEastAsia"/>
                <w:color w:val="auto"/>
                <w:position w:val="-30"/>
              </w:rPr>
              <w:t>型号规格</w:t>
            </w:r>
          </w:p>
        </w:tc>
        <w:tc>
          <w:tcPr>
            <w:tcW w:w="700" w:type="dxa"/>
          </w:tcPr>
          <w:p w14:paraId="6A758D94">
            <w:pPr>
              <w:pStyle w:val="12"/>
              <w:keepNext w:val="0"/>
              <w:keepLines w:val="0"/>
              <w:suppressLineNumbers w:val="0"/>
              <w:spacing w:before="0" w:beforeAutospacing="0" w:after="0" w:afterAutospacing="0" w:line="240" w:lineRule="auto"/>
              <w:ind w:left="0" w:right="0" w:firstLine="0"/>
              <w:jc w:val="center"/>
              <w:rPr>
                <w:rFonts w:hint="default" w:cs="宋体" w:asciiTheme="minorEastAsia" w:hAnsiTheme="minorEastAsia" w:eastAsiaTheme="minorEastAsia"/>
                <w:color w:val="auto"/>
                <w:position w:val="-50"/>
              </w:rPr>
            </w:pPr>
            <w:r>
              <w:rPr>
                <w:rFonts w:hint="eastAsia" w:cs="宋体" w:asciiTheme="minorEastAsia" w:hAnsiTheme="minorEastAsia" w:eastAsiaTheme="minorEastAsia"/>
                <w:color w:val="auto"/>
                <w:position w:val="-50"/>
              </w:rPr>
              <w:t>数量</w:t>
            </w:r>
          </w:p>
        </w:tc>
        <w:tc>
          <w:tcPr>
            <w:tcW w:w="900" w:type="dxa"/>
          </w:tcPr>
          <w:p w14:paraId="2D8D5FC7">
            <w:pPr>
              <w:pStyle w:val="12"/>
              <w:keepNext w:val="0"/>
              <w:keepLines w:val="0"/>
              <w:suppressLineNumbers w:val="0"/>
              <w:spacing w:before="0" w:beforeAutospacing="0" w:after="0" w:afterAutospacing="0" w:line="240" w:lineRule="auto"/>
              <w:ind w:left="0" w:right="0" w:firstLine="0"/>
              <w:jc w:val="center"/>
              <w:rPr>
                <w:rFonts w:hint="default" w:cs="宋体" w:asciiTheme="minorEastAsia" w:hAnsiTheme="minorEastAsia" w:eastAsiaTheme="minorEastAsia"/>
                <w:color w:val="auto"/>
                <w:position w:val="-30"/>
              </w:rPr>
            </w:pPr>
            <w:r>
              <w:rPr>
                <w:rFonts w:hint="eastAsia" w:cs="宋体" w:asciiTheme="minorEastAsia" w:hAnsiTheme="minorEastAsia" w:eastAsiaTheme="minorEastAsia"/>
                <w:color w:val="auto"/>
                <w:position w:val="-30"/>
              </w:rPr>
              <w:t>国 别</w:t>
            </w:r>
          </w:p>
          <w:p w14:paraId="1F802574">
            <w:pPr>
              <w:pStyle w:val="12"/>
              <w:keepNext w:val="0"/>
              <w:keepLines w:val="0"/>
              <w:suppressLineNumbers w:val="0"/>
              <w:spacing w:before="0" w:beforeAutospacing="0" w:after="0" w:afterAutospacing="0" w:line="240" w:lineRule="auto"/>
              <w:ind w:left="0" w:right="0" w:firstLine="0"/>
              <w:jc w:val="center"/>
              <w:rPr>
                <w:rFonts w:hint="default" w:cs="宋体" w:asciiTheme="minorEastAsia" w:hAnsiTheme="minorEastAsia" w:eastAsiaTheme="minorEastAsia"/>
                <w:color w:val="auto"/>
                <w:position w:val="-30"/>
              </w:rPr>
            </w:pPr>
            <w:r>
              <w:rPr>
                <w:rFonts w:hint="eastAsia" w:cs="宋体" w:asciiTheme="minorEastAsia" w:hAnsiTheme="minorEastAsia" w:eastAsiaTheme="minorEastAsia"/>
                <w:color w:val="auto"/>
                <w:position w:val="-30"/>
              </w:rPr>
              <w:t>产 地</w:t>
            </w:r>
          </w:p>
        </w:tc>
        <w:tc>
          <w:tcPr>
            <w:tcW w:w="900" w:type="dxa"/>
          </w:tcPr>
          <w:p w14:paraId="73E7427F">
            <w:pPr>
              <w:pStyle w:val="12"/>
              <w:keepNext w:val="0"/>
              <w:keepLines w:val="0"/>
              <w:suppressLineNumbers w:val="0"/>
              <w:spacing w:before="0" w:beforeAutospacing="0" w:after="0" w:afterAutospacing="0" w:line="240" w:lineRule="auto"/>
              <w:ind w:left="0" w:right="0" w:firstLine="0"/>
              <w:jc w:val="center"/>
              <w:rPr>
                <w:rFonts w:hint="default" w:cs="宋体" w:asciiTheme="minorEastAsia" w:hAnsiTheme="minorEastAsia" w:eastAsiaTheme="minorEastAsia"/>
                <w:color w:val="auto"/>
                <w:position w:val="-30"/>
              </w:rPr>
            </w:pPr>
            <w:r>
              <w:rPr>
                <w:rFonts w:hint="eastAsia" w:cs="宋体" w:asciiTheme="minorEastAsia" w:hAnsiTheme="minorEastAsia" w:eastAsiaTheme="minorEastAsia"/>
                <w:color w:val="auto"/>
                <w:position w:val="-30"/>
              </w:rPr>
              <w:t>制 造</w:t>
            </w:r>
          </w:p>
          <w:p w14:paraId="7C898A49">
            <w:pPr>
              <w:pStyle w:val="12"/>
              <w:keepNext w:val="0"/>
              <w:keepLines w:val="0"/>
              <w:suppressLineNumbers w:val="0"/>
              <w:spacing w:before="0" w:beforeAutospacing="0" w:after="0" w:afterAutospacing="0" w:line="240" w:lineRule="auto"/>
              <w:ind w:left="0" w:right="0" w:firstLine="0"/>
              <w:jc w:val="center"/>
              <w:rPr>
                <w:rFonts w:hint="default" w:cs="宋体" w:asciiTheme="minorEastAsia" w:hAnsiTheme="minorEastAsia" w:eastAsiaTheme="minorEastAsia"/>
                <w:color w:val="auto"/>
                <w:position w:val="-30"/>
              </w:rPr>
            </w:pPr>
            <w:r>
              <w:rPr>
                <w:rFonts w:hint="eastAsia" w:cs="宋体" w:asciiTheme="minorEastAsia" w:hAnsiTheme="minorEastAsia" w:eastAsiaTheme="minorEastAsia"/>
                <w:color w:val="auto"/>
                <w:position w:val="-30"/>
              </w:rPr>
              <w:t>年 份</w:t>
            </w:r>
          </w:p>
        </w:tc>
        <w:tc>
          <w:tcPr>
            <w:tcW w:w="1100" w:type="dxa"/>
          </w:tcPr>
          <w:p w14:paraId="3C57D56A">
            <w:pPr>
              <w:pStyle w:val="12"/>
              <w:keepNext w:val="0"/>
              <w:keepLines w:val="0"/>
              <w:suppressLineNumbers w:val="0"/>
              <w:spacing w:before="0" w:beforeAutospacing="0" w:after="0" w:afterAutospacing="0" w:line="240" w:lineRule="auto"/>
              <w:ind w:left="0" w:right="0" w:firstLine="0"/>
              <w:jc w:val="center"/>
              <w:rPr>
                <w:rFonts w:hint="default" w:cs="宋体" w:asciiTheme="minorEastAsia" w:hAnsiTheme="minorEastAsia" w:eastAsiaTheme="minorEastAsia"/>
                <w:color w:val="auto"/>
                <w:position w:val="-30"/>
              </w:rPr>
            </w:pPr>
            <w:r>
              <w:rPr>
                <w:rFonts w:hint="eastAsia" w:cs="宋体" w:asciiTheme="minorEastAsia" w:hAnsiTheme="minorEastAsia" w:eastAsiaTheme="minorEastAsia"/>
                <w:color w:val="auto"/>
                <w:position w:val="-30"/>
              </w:rPr>
              <w:t>额定功率(KW)</w:t>
            </w:r>
          </w:p>
        </w:tc>
        <w:tc>
          <w:tcPr>
            <w:tcW w:w="1100" w:type="dxa"/>
          </w:tcPr>
          <w:p w14:paraId="4B77A225">
            <w:pPr>
              <w:pStyle w:val="12"/>
              <w:keepNext w:val="0"/>
              <w:keepLines w:val="0"/>
              <w:suppressLineNumbers w:val="0"/>
              <w:spacing w:before="0" w:beforeAutospacing="0" w:after="0" w:afterAutospacing="0" w:line="240" w:lineRule="auto"/>
              <w:ind w:left="0" w:right="0" w:firstLine="0"/>
              <w:jc w:val="center"/>
              <w:rPr>
                <w:rFonts w:hint="default" w:cs="宋体" w:asciiTheme="minorEastAsia" w:hAnsiTheme="minorEastAsia" w:eastAsiaTheme="minorEastAsia"/>
                <w:color w:val="auto"/>
                <w:position w:val="-30"/>
              </w:rPr>
            </w:pPr>
            <w:r>
              <w:rPr>
                <w:rFonts w:hint="eastAsia" w:cs="宋体" w:asciiTheme="minorEastAsia" w:hAnsiTheme="minorEastAsia" w:eastAsiaTheme="minorEastAsia"/>
                <w:color w:val="auto"/>
                <w:position w:val="-30"/>
              </w:rPr>
              <w:t>生产能力(MH)</w:t>
            </w:r>
          </w:p>
        </w:tc>
        <w:tc>
          <w:tcPr>
            <w:tcW w:w="2100" w:type="dxa"/>
          </w:tcPr>
          <w:p w14:paraId="6129330D">
            <w:pPr>
              <w:pStyle w:val="12"/>
              <w:keepNext w:val="0"/>
              <w:keepLines w:val="0"/>
              <w:suppressLineNumbers w:val="0"/>
              <w:spacing w:before="0" w:beforeAutospacing="0" w:after="0" w:afterAutospacing="0" w:line="240" w:lineRule="auto"/>
              <w:ind w:left="0" w:right="0" w:firstLine="0"/>
              <w:jc w:val="center"/>
              <w:rPr>
                <w:rFonts w:hint="default" w:cs="宋体" w:asciiTheme="minorEastAsia" w:hAnsiTheme="minorEastAsia" w:eastAsiaTheme="minorEastAsia"/>
                <w:color w:val="auto"/>
                <w:position w:val="-50"/>
              </w:rPr>
            </w:pPr>
            <w:r>
              <w:rPr>
                <w:rFonts w:hint="eastAsia" w:cs="宋体" w:asciiTheme="minorEastAsia" w:hAnsiTheme="minorEastAsia" w:eastAsiaTheme="minorEastAsia"/>
                <w:color w:val="auto"/>
                <w:position w:val="-50"/>
              </w:rPr>
              <w:t>备注</w:t>
            </w:r>
          </w:p>
        </w:tc>
      </w:tr>
      <w:tr w14:paraId="59938A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508" w:type="dxa"/>
          </w:tcPr>
          <w:p w14:paraId="7E9D8592">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700" w:type="dxa"/>
          </w:tcPr>
          <w:p w14:paraId="4C962824">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700" w:type="dxa"/>
          </w:tcPr>
          <w:p w14:paraId="77C16AA2">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700" w:type="dxa"/>
          </w:tcPr>
          <w:p w14:paraId="208C2DD7">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900" w:type="dxa"/>
          </w:tcPr>
          <w:p w14:paraId="7B1ED65A">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900" w:type="dxa"/>
          </w:tcPr>
          <w:p w14:paraId="40FEF88E">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100" w:type="dxa"/>
          </w:tcPr>
          <w:p w14:paraId="1BD166F4">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100" w:type="dxa"/>
          </w:tcPr>
          <w:p w14:paraId="11AFE5CC">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2100" w:type="dxa"/>
          </w:tcPr>
          <w:p w14:paraId="0546F53C">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r>
      <w:tr w14:paraId="660E17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508" w:type="dxa"/>
          </w:tcPr>
          <w:p w14:paraId="3266601B">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700" w:type="dxa"/>
          </w:tcPr>
          <w:p w14:paraId="5D665691">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700" w:type="dxa"/>
          </w:tcPr>
          <w:p w14:paraId="05A87E87">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700" w:type="dxa"/>
          </w:tcPr>
          <w:p w14:paraId="78981FE0">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900" w:type="dxa"/>
          </w:tcPr>
          <w:p w14:paraId="003EDEBD">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900" w:type="dxa"/>
          </w:tcPr>
          <w:p w14:paraId="355EA9FA">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100" w:type="dxa"/>
          </w:tcPr>
          <w:p w14:paraId="0CA0D857">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100" w:type="dxa"/>
          </w:tcPr>
          <w:p w14:paraId="540C321E">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2100" w:type="dxa"/>
          </w:tcPr>
          <w:p w14:paraId="514B3D61">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r>
      <w:tr w14:paraId="6E89AF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508" w:type="dxa"/>
          </w:tcPr>
          <w:p w14:paraId="1E91B7A7">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700" w:type="dxa"/>
          </w:tcPr>
          <w:p w14:paraId="582BA5E6">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700" w:type="dxa"/>
          </w:tcPr>
          <w:p w14:paraId="09F15C0A">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700" w:type="dxa"/>
          </w:tcPr>
          <w:p w14:paraId="59285403">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900" w:type="dxa"/>
          </w:tcPr>
          <w:p w14:paraId="45F3EBE5">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900" w:type="dxa"/>
          </w:tcPr>
          <w:p w14:paraId="4DE73B32">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100" w:type="dxa"/>
          </w:tcPr>
          <w:p w14:paraId="1F3657AF">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100" w:type="dxa"/>
          </w:tcPr>
          <w:p w14:paraId="7F04FF5C">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2100" w:type="dxa"/>
          </w:tcPr>
          <w:p w14:paraId="2D5A71C7">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r>
      <w:tr w14:paraId="3455DD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508" w:type="dxa"/>
          </w:tcPr>
          <w:p w14:paraId="42848D97">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700" w:type="dxa"/>
          </w:tcPr>
          <w:p w14:paraId="7EB8C4F2">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700" w:type="dxa"/>
          </w:tcPr>
          <w:p w14:paraId="22796C01">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700" w:type="dxa"/>
          </w:tcPr>
          <w:p w14:paraId="3E2113E2">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900" w:type="dxa"/>
          </w:tcPr>
          <w:p w14:paraId="6DFA21B9">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900" w:type="dxa"/>
          </w:tcPr>
          <w:p w14:paraId="3805717A">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100" w:type="dxa"/>
          </w:tcPr>
          <w:p w14:paraId="1F7AE6D6">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100" w:type="dxa"/>
          </w:tcPr>
          <w:p w14:paraId="5F2E72BC">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2100" w:type="dxa"/>
          </w:tcPr>
          <w:p w14:paraId="470AEFBC">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r>
      <w:tr w14:paraId="5C936F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508" w:type="dxa"/>
          </w:tcPr>
          <w:p w14:paraId="14F3915A">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700" w:type="dxa"/>
          </w:tcPr>
          <w:p w14:paraId="05E4B7E8">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700" w:type="dxa"/>
          </w:tcPr>
          <w:p w14:paraId="5015B481">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700" w:type="dxa"/>
          </w:tcPr>
          <w:p w14:paraId="38D648BD">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900" w:type="dxa"/>
          </w:tcPr>
          <w:p w14:paraId="4FD23256">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900" w:type="dxa"/>
          </w:tcPr>
          <w:p w14:paraId="52423E87">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100" w:type="dxa"/>
          </w:tcPr>
          <w:p w14:paraId="1E4643D4">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100" w:type="dxa"/>
          </w:tcPr>
          <w:p w14:paraId="44E2B10C">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2100" w:type="dxa"/>
          </w:tcPr>
          <w:p w14:paraId="3571BDD0">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r>
      <w:tr w14:paraId="126E58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508" w:type="dxa"/>
          </w:tcPr>
          <w:p w14:paraId="704C19D6">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700" w:type="dxa"/>
          </w:tcPr>
          <w:p w14:paraId="03314E6D">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700" w:type="dxa"/>
          </w:tcPr>
          <w:p w14:paraId="73DBE719">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700" w:type="dxa"/>
          </w:tcPr>
          <w:p w14:paraId="3547B360">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900" w:type="dxa"/>
          </w:tcPr>
          <w:p w14:paraId="4795062D">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900" w:type="dxa"/>
          </w:tcPr>
          <w:p w14:paraId="7EFA9310">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100" w:type="dxa"/>
          </w:tcPr>
          <w:p w14:paraId="02A1E22A">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100" w:type="dxa"/>
          </w:tcPr>
          <w:p w14:paraId="59F34657">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2100" w:type="dxa"/>
          </w:tcPr>
          <w:p w14:paraId="0B0F9D0B">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r>
      <w:tr w14:paraId="0A775A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508" w:type="dxa"/>
          </w:tcPr>
          <w:p w14:paraId="4D215E94">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700" w:type="dxa"/>
          </w:tcPr>
          <w:p w14:paraId="1167204B">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700" w:type="dxa"/>
          </w:tcPr>
          <w:p w14:paraId="5BB6C72F">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700" w:type="dxa"/>
          </w:tcPr>
          <w:p w14:paraId="798E1753">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900" w:type="dxa"/>
          </w:tcPr>
          <w:p w14:paraId="737EA853">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900" w:type="dxa"/>
          </w:tcPr>
          <w:p w14:paraId="3724D832">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100" w:type="dxa"/>
          </w:tcPr>
          <w:p w14:paraId="357627B8">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100" w:type="dxa"/>
          </w:tcPr>
          <w:p w14:paraId="314545D0">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2100" w:type="dxa"/>
          </w:tcPr>
          <w:p w14:paraId="4936F3AD">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r>
      <w:tr w14:paraId="0358BC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508" w:type="dxa"/>
          </w:tcPr>
          <w:p w14:paraId="4D2495D3">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700" w:type="dxa"/>
          </w:tcPr>
          <w:p w14:paraId="78F7C910">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700" w:type="dxa"/>
          </w:tcPr>
          <w:p w14:paraId="04728A12">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700" w:type="dxa"/>
          </w:tcPr>
          <w:p w14:paraId="0B36CFF0">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900" w:type="dxa"/>
          </w:tcPr>
          <w:p w14:paraId="049512A0">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900" w:type="dxa"/>
          </w:tcPr>
          <w:p w14:paraId="43F2AF17">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100" w:type="dxa"/>
          </w:tcPr>
          <w:p w14:paraId="37BDB1BC">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100" w:type="dxa"/>
          </w:tcPr>
          <w:p w14:paraId="1B8D4BC9">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2100" w:type="dxa"/>
          </w:tcPr>
          <w:p w14:paraId="738D9EDB">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r>
      <w:tr w14:paraId="3076B8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508" w:type="dxa"/>
          </w:tcPr>
          <w:p w14:paraId="4E5FDA18">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700" w:type="dxa"/>
          </w:tcPr>
          <w:p w14:paraId="280132EA">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700" w:type="dxa"/>
          </w:tcPr>
          <w:p w14:paraId="65A768E9">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700" w:type="dxa"/>
          </w:tcPr>
          <w:p w14:paraId="6AF1898B">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900" w:type="dxa"/>
          </w:tcPr>
          <w:p w14:paraId="0BB85BBB">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900" w:type="dxa"/>
          </w:tcPr>
          <w:p w14:paraId="19E6277F">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100" w:type="dxa"/>
          </w:tcPr>
          <w:p w14:paraId="2E9D60BD">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100" w:type="dxa"/>
          </w:tcPr>
          <w:p w14:paraId="1AF076FD">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2100" w:type="dxa"/>
          </w:tcPr>
          <w:p w14:paraId="3CB1EDBB">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r>
      <w:tr w14:paraId="5B9445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508" w:type="dxa"/>
          </w:tcPr>
          <w:p w14:paraId="1274E7D1">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700" w:type="dxa"/>
          </w:tcPr>
          <w:p w14:paraId="26DB4860">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700" w:type="dxa"/>
          </w:tcPr>
          <w:p w14:paraId="7B8A2AF5">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700" w:type="dxa"/>
          </w:tcPr>
          <w:p w14:paraId="3B84DD08">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900" w:type="dxa"/>
          </w:tcPr>
          <w:p w14:paraId="0C127771">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900" w:type="dxa"/>
          </w:tcPr>
          <w:p w14:paraId="2A92D7F4">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100" w:type="dxa"/>
          </w:tcPr>
          <w:p w14:paraId="4C7D2E4B">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100" w:type="dxa"/>
          </w:tcPr>
          <w:p w14:paraId="7F8CF8F3">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2100" w:type="dxa"/>
          </w:tcPr>
          <w:p w14:paraId="2D748C7C">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r>
      <w:tr w14:paraId="280608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508" w:type="dxa"/>
          </w:tcPr>
          <w:p w14:paraId="68B4CBF1">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700" w:type="dxa"/>
          </w:tcPr>
          <w:p w14:paraId="0E084AE5">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700" w:type="dxa"/>
          </w:tcPr>
          <w:p w14:paraId="34E8FF25">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700" w:type="dxa"/>
          </w:tcPr>
          <w:p w14:paraId="3CD3FEC2">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900" w:type="dxa"/>
          </w:tcPr>
          <w:p w14:paraId="4763EFAB">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900" w:type="dxa"/>
          </w:tcPr>
          <w:p w14:paraId="31F2A5F3">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100" w:type="dxa"/>
          </w:tcPr>
          <w:p w14:paraId="12DF8F4A">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100" w:type="dxa"/>
          </w:tcPr>
          <w:p w14:paraId="24BC5106">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2100" w:type="dxa"/>
          </w:tcPr>
          <w:p w14:paraId="0E7680E6">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r>
      <w:tr w14:paraId="6DDE89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508" w:type="dxa"/>
          </w:tcPr>
          <w:p w14:paraId="0EC25E4E">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700" w:type="dxa"/>
          </w:tcPr>
          <w:p w14:paraId="7057CB48">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700" w:type="dxa"/>
          </w:tcPr>
          <w:p w14:paraId="0EA425FF">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700" w:type="dxa"/>
          </w:tcPr>
          <w:p w14:paraId="6540C60E">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900" w:type="dxa"/>
          </w:tcPr>
          <w:p w14:paraId="63B18693">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900" w:type="dxa"/>
          </w:tcPr>
          <w:p w14:paraId="58877899">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100" w:type="dxa"/>
          </w:tcPr>
          <w:p w14:paraId="302CD31B">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100" w:type="dxa"/>
          </w:tcPr>
          <w:p w14:paraId="7CA1A5BB">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2100" w:type="dxa"/>
          </w:tcPr>
          <w:p w14:paraId="01AD0C70">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r>
      <w:tr w14:paraId="0C9822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508" w:type="dxa"/>
          </w:tcPr>
          <w:p w14:paraId="7DE29C2E">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700" w:type="dxa"/>
          </w:tcPr>
          <w:p w14:paraId="64A849DA">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700" w:type="dxa"/>
          </w:tcPr>
          <w:p w14:paraId="2C8F1353">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700" w:type="dxa"/>
          </w:tcPr>
          <w:p w14:paraId="18BAA475">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900" w:type="dxa"/>
          </w:tcPr>
          <w:p w14:paraId="70A48CAD">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900" w:type="dxa"/>
          </w:tcPr>
          <w:p w14:paraId="5D24E124">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100" w:type="dxa"/>
          </w:tcPr>
          <w:p w14:paraId="667AB887">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100" w:type="dxa"/>
          </w:tcPr>
          <w:p w14:paraId="24A29630">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2100" w:type="dxa"/>
          </w:tcPr>
          <w:p w14:paraId="0AF3F1A4">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r>
      <w:tr w14:paraId="669C05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508" w:type="dxa"/>
          </w:tcPr>
          <w:p w14:paraId="500AE51D">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700" w:type="dxa"/>
          </w:tcPr>
          <w:p w14:paraId="6B446B38">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700" w:type="dxa"/>
          </w:tcPr>
          <w:p w14:paraId="7A4A22D7">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700" w:type="dxa"/>
          </w:tcPr>
          <w:p w14:paraId="6609CF65">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900" w:type="dxa"/>
          </w:tcPr>
          <w:p w14:paraId="32C80342">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900" w:type="dxa"/>
          </w:tcPr>
          <w:p w14:paraId="5D7413DA">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100" w:type="dxa"/>
          </w:tcPr>
          <w:p w14:paraId="5F26D6E2">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100" w:type="dxa"/>
          </w:tcPr>
          <w:p w14:paraId="165D9291">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2100" w:type="dxa"/>
          </w:tcPr>
          <w:p w14:paraId="506E8C40">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r>
      <w:tr w14:paraId="45DB40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508" w:type="dxa"/>
          </w:tcPr>
          <w:p w14:paraId="7D949844">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700" w:type="dxa"/>
          </w:tcPr>
          <w:p w14:paraId="58A67730">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700" w:type="dxa"/>
          </w:tcPr>
          <w:p w14:paraId="7DF8F47A">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700" w:type="dxa"/>
          </w:tcPr>
          <w:p w14:paraId="4ED41015">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900" w:type="dxa"/>
          </w:tcPr>
          <w:p w14:paraId="52B27FC2">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900" w:type="dxa"/>
          </w:tcPr>
          <w:p w14:paraId="6ACAEB90">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100" w:type="dxa"/>
          </w:tcPr>
          <w:p w14:paraId="6ACD81C9">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100" w:type="dxa"/>
          </w:tcPr>
          <w:p w14:paraId="27CECE64">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2100" w:type="dxa"/>
          </w:tcPr>
          <w:p w14:paraId="0028B326">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r>
      <w:tr w14:paraId="5F956B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508" w:type="dxa"/>
          </w:tcPr>
          <w:p w14:paraId="36BE5CB9">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700" w:type="dxa"/>
          </w:tcPr>
          <w:p w14:paraId="0157C6BD">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700" w:type="dxa"/>
          </w:tcPr>
          <w:p w14:paraId="57B382D3">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700" w:type="dxa"/>
          </w:tcPr>
          <w:p w14:paraId="756AA59A">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900" w:type="dxa"/>
          </w:tcPr>
          <w:p w14:paraId="5C909254">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900" w:type="dxa"/>
          </w:tcPr>
          <w:p w14:paraId="05C3F993">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100" w:type="dxa"/>
          </w:tcPr>
          <w:p w14:paraId="6E58090A">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100" w:type="dxa"/>
          </w:tcPr>
          <w:p w14:paraId="26442AA2">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2100" w:type="dxa"/>
          </w:tcPr>
          <w:p w14:paraId="4E6940E8">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r>
      <w:tr w14:paraId="27D47E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508" w:type="dxa"/>
          </w:tcPr>
          <w:p w14:paraId="48829517">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700" w:type="dxa"/>
          </w:tcPr>
          <w:p w14:paraId="4A438CBB">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700" w:type="dxa"/>
          </w:tcPr>
          <w:p w14:paraId="789A1617">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700" w:type="dxa"/>
          </w:tcPr>
          <w:p w14:paraId="7AD5FB29">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900" w:type="dxa"/>
          </w:tcPr>
          <w:p w14:paraId="30F6D057">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900" w:type="dxa"/>
          </w:tcPr>
          <w:p w14:paraId="5C83F446">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100" w:type="dxa"/>
          </w:tcPr>
          <w:p w14:paraId="73552564">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100" w:type="dxa"/>
          </w:tcPr>
          <w:p w14:paraId="2D93F350">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2100" w:type="dxa"/>
          </w:tcPr>
          <w:p w14:paraId="01E4F3CE">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r>
      <w:tr w14:paraId="1CCDF1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508" w:type="dxa"/>
          </w:tcPr>
          <w:p w14:paraId="248AD0A3">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700" w:type="dxa"/>
          </w:tcPr>
          <w:p w14:paraId="499DC00E">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700" w:type="dxa"/>
          </w:tcPr>
          <w:p w14:paraId="4648F407">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700" w:type="dxa"/>
          </w:tcPr>
          <w:p w14:paraId="1ACD1687">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900" w:type="dxa"/>
          </w:tcPr>
          <w:p w14:paraId="1C4494BE">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900" w:type="dxa"/>
          </w:tcPr>
          <w:p w14:paraId="6792488F">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100" w:type="dxa"/>
          </w:tcPr>
          <w:p w14:paraId="4417B51F">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1100" w:type="dxa"/>
          </w:tcPr>
          <w:p w14:paraId="4348137E">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c>
          <w:tcPr>
            <w:tcW w:w="2100" w:type="dxa"/>
          </w:tcPr>
          <w:p w14:paraId="6443086B">
            <w:pPr>
              <w:pStyle w:val="12"/>
              <w:keepNext w:val="0"/>
              <w:keepLines w:val="0"/>
              <w:suppressLineNumbers w:val="0"/>
              <w:spacing w:before="0" w:beforeAutospacing="0" w:after="0" w:afterAutospacing="0" w:line="360" w:lineRule="auto"/>
              <w:ind w:left="0" w:right="0" w:firstLine="0"/>
              <w:rPr>
                <w:rFonts w:hint="default" w:cs="宋体" w:asciiTheme="minorEastAsia" w:hAnsiTheme="minorEastAsia" w:eastAsiaTheme="minorEastAsia"/>
                <w:color w:val="auto"/>
                <w:sz w:val="25"/>
              </w:rPr>
            </w:pPr>
          </w:p>
        </w:tc>
      </w:tr>
    </w:tbl>
    <w:p w14:paraId="375FCF0E">
      <w:pPr>
        <w:pStyle w:val="12"/>
        <w:spacing w:line="360" w:lineRule="auto"/>
        <w:ind w:firstLine="0"/>
        <w:jc w:val="center"/>
        <w:rPr>
          <w:rFonts w:cs="宋体" w:asciiTheme="minorEastAsia" w:hAnsiTheme="minorEastAsia" w:eastAsiaTheme="minorEastAsia"/>
          <w:color w:val="auto"/>
          <w:sz w:val="25"/>
        </w:rPr>
      </w:pPr>
    </w:p>
    <w:p w14:paraId="5DB242C4">
      <w:pPr>
        <w:pStyle w:val="12"/>
        <w:spacing w:line="360" w:lineRule="auto"/>
        <w:ind w:firstLine="0"/>
        <w:jc w:val="center"/>
        <w:rPr>
          <w:rFonts w:cs="宋体" w:asciiTheme="minorEastAsia" w:hAnsiTheme="minorEastAsia" w:eastAsiaTheme="minorEastAsia"/>
          <w:color w:val="auto"/>
          <w:sz w:val="25"/>
        </w:rPr>
      </w:pPr>
    </w:p>
    <w:p w14:paraId="1414A761">
      <w:pPr>
        <w:pStyle w:val="147"/>
        <w:spacing w:line="420" w:lineRule="atLeast"/>
        <w:jc w:val="both"/>
        <w:outlineLvl w:val="1"/>
        <w:rPr>
          <w:rFonts w:cs="宋体" w:asciiTheme="minorEastAsia" w:hAnsiTheme="minorEastAsia" w:eastAsiaTheme="minorEastAsia"/>
          <w:color w:val="auto"/>
          <w:sz w:val="32"/>
        </w:rPr>
      </w:pPr>
      <w:bookmarkStart w:id="537" w:name="_Toc354349601"/>
      <w:bookmarkStart w:id="538" w:name="_Toc286661200"/>
      <w:bookmarkStart w:id="539" w:name="_Toc388540289"/>
    </w:p>
    <w:p w14:paraId="1298E957">
      <w:pPr>
        <w:pStyle w:val="147"/>
        <w:spacing w:line="420" w:lineRule="atLeast"/>
        <w:outlineLvl w:val="1"/>
        <w:rPr>
          <w:rFonts w:cs="宋体" w:asciiTheme="minorEastAsia" w:hAnsiTheme="minorEastAsia" w:eastAsiaTheme="minorEastAsia"/>
          <w:color w:val="auto"/>
          <w:sz w:val="32"/>
        </w:rPr>
      </w:pPr>
      <w:r>
        <w:rPr>
          <w:rFonts w:hint="eastAsia" w:cs="宋体" w:asciiTheme="minorEastAsia" w:hAnsiTheme="minorEastAsia" w:eastAsiaTheme="minorEastAsia"/>
          <w:color w:val="auto"/>
          <w:sz w:val="32"/>
        </w:rPr>
        <w:t>主要施工管理人员表</w:t>
      </w:r>
      <w:bookmarkEnd w:id="537"/>
      <w:bookmarkEnd w:id="538"/>
      <w:bookmarkEnd w:id="539"/>
    </w:p>
    <w:tbl>
      <w:tblPr>
        <w:tblStyle w:val="47"/>
        <w:tblW w:w="884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9"/>
        <w:gridCol w:w="1804"/>
        <w:gridCol w:w="849"/>
        <w:gridCol w:w="849"/>
        <w:gridCol w:w="849"/>
        <w:gridCol w:w="3808"/>
      </w:tblGrid>
      <w:tr w14:paraId="3B19D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689" w:type="dxa"/>
            <w:tcBorders>
              <w:top w:val="single" w:color="auto" w:sz="12" w:space="0"/>
              <w:left w:val="single" w:color="auto" w:sz="12" w:space="0"/>
              <w:bottom w:val="double" w:color="auto" w:sz="4" w:space="0"/>
            </w:tcBorders>
            <w:vAlign w:val="center"/>
          </w:tcPr>
          <w:p w14:paraId="42389138">
            <w:pPr>
              <w:keepNext w:val="0"/>
              <w:keepLines w:val="0"/>
              <w:suppressLineNumbers w:val="0"/>
              <w:spacing w:before="0" w:beforeAutospacing="0" w:after="0" w:afterAutospacing="0"/>
              <w:ind w:left="0" w:right="0"/>
              <w:jc w:val="center"/>
              <w:rPr>
                <w:rFonts w:hint="default" w:cs="宋体" w:asciiTheme="minorEastAsia" w:hAnsiTheme="minorEastAsia" w:eastAsiaTheme="minorEastAsia"/>
                <w:color w:val="auto"/>
                <w:sz w:val="24"/>
              </w:rPr>
            </w:pPr>
            <w:r>
              <w:rPr>
                <w:rFonts w:hint="eastAsia" w:cs="宋体" w:asciiTheme="minorEastAsia" w:hAnsiTheme="minorEastAsia" w:eastAsiaTheme="minorEastAsia"/>
                <w:color w:val="auto"/>
                <w:sz w:val="24"/>
              </w:rPr>
              <w:t>机构</w:t>
            </w:r>
          </w:p>
        </w:tc>
        <w:tc>
          <w:tcPr>
            <w:tcW w:w="1804" w:type="dxa"/>
            <w:tcBorders>
              <w:top w:val="single" w:color="auto" w:sz="12" w:space="0"/>
              <w:bottom w:val="double" w:color="auto" w:sz="4" w:space="0"/>
            </w:tcBorders>
            <w:vAlign w:val="center"/>
          </w:tcPr>
          <w:p w14:paraId="343FF769">
            <w:pPr>
              <w:keepNext w:val="0"/>
              <w:keepLines w:val="0"/>
              <w:suppressLineNumbers w:val="0"/>
              <w:spacing w:before="0" w:beforeAutospacing="0" w:after="0" w:afterAutospacing="0"/>
              <w:ind w:left="0" w:right="0"/>
              <w:jc w:val="center"/>
              <w:rPr>
                <w:rFonts w:hint="default" w:cs="宋体" w:asciiTheme="minorEastAsia" w:hAnsiTheme="minorEastAsia" w:eastAsiaTheme="minorEastAsia"/>
                <w:color w:val="auto"/>
                <w:sz w:val="24"/>
              </w:rPr>
            </w:pPr>
            <w:r>
              <w:rPr>
                <w:rFonts w:hint="eastAsia" w:cs="宋体" w:asciiTheme="minorEastAsia" w:hAnsiTheme="minorEastAsia" w:eastAsiaTheme="minorEastAsia"/>
                <w:color w:val="auto"/>
                <w:sz w:val="24"/>
              </w:rPr>
              <w:t>项目工程师</w:t>
            </w:r>
          </w:p>
        </w:tc>
        <w:tc>
          <w:tcPr>
            <w:tcW w:w="849" w:type="dxa"/>
            <w:tcBorders>
              <w:top w:val="single" w:color="auto" w:sz="12" w:space="0"/>
              <w:bottom w:val="double" w:color="auto" w:sz="4" w:space="0"/>
            </w:tcBorders>
            <w:vAlign w:val="center"/>
          </w:tcPr>
          <w:p w14:paraId="22D432B3">
            <w:pPr>
              <w:keepNext w:val="0"/>
              <w:keepLines w:val="0"/>
              <w:suppressLineNumbers w:val="0"/>
              <w:spacing w:before="0" w:beforeAutospacing="0" w:after="0" w:afterAutospacing="0"/>
              <w:ind w:left="0" w:right="0"/>
              <w:jc w:val="center"/>
              <w:rPr>
                <w:rFonts w:hint="default" w:cs="宋体" w:asciiTheme="minorEastAsia" w:hAnsiTheme="minorEastAsia" w:eastAsiaTheme="minorEastAsia"/>
                <w:color w:val="auto"/>
                <w:sz w:val="24"/>
              </w:rPr>
            </w:pPr>
            <w:r>
              <w:rPr>
                <w:rFonts w:hint="eastAsia" w:cs="宋体" w:asciiTheme="minorEastAsia" w:hAnsiTheme="minorEastAsia" w:eastAsiaTheme="minorEastAsia"/>
                <w:color w:val="auto"/>
                <w:sz w:val="24"/>
              </w:rPr>
              <w:t>姓名</w:t>
            </w:r>
          </w:p>
        </w:tc>
        <w:tc>
          <w:tcPr>
            <w:tcW w:w="849" w:type="dxa"/>
            <w:tcBorders>
              <w:top w:val="single" w:color="auto" w:sz="12" w:space="0"/>
              <w:bottom w:val="double" w:color="auto" w:sz="4" w:space="0"/>
            </w:tcBorders>
            <w:vAlign w:val="center"/>
          </w:tcPr>
          <w:p w14:paraId="30280D2F">
            <w:pPr>
              <w:keepNext w:val="0"/>
              <w:keepLines w:val="0"/>
              <w:suppressLineNumbers w:val="0"/>
              <w:spacing w:before="0" w:beforeAutospacing="0" w:after="0" w:afterAutospacing="0"/>
              <w:ind w:left="0" w:right="0"/>
              <w:jc w:val="center"/>
              <w:rPr>
                <w:rFonts w:hint="default" w:cs="宋体" w:asciiTheme="minorEastAsia" w:hAnsiTheme="minorEastAsia" w:eastAsiaTheme="minorEastAsia"/>
                <w:color w:val="auto"/>
                <w:sz w:val="24"/>
              </w:rPr>
            </w:pPr>
            <w:r>
              <w:rPr>
                <w:rFonts w:hint="eastAsia" w:cs="宋体" w:asciiTheme="minorEastAsia" w:hAnsiTheme="minorEastAsia" w:eastAsiaTheme="minorEastAsia"/>
                <w:color w:val="auto"/>
                <w:sz w:val="24"/>
              </w:rPr>
              <w:t>职务</w:t>
            </w:r>
          </w:p>
        </w:tc>
        <w:tc>
          <w:tcPr>
            <w:tcW w:w="849" w:type="dxa"/>
            <w:tcBorders>
              <w:top w:val="single" w:color="auto" w:sz="12" w:space="0"/>
              <w:bottom w:val="double" w:color="auto" w:sz="4" w:space="0"/>
            </w:tcBorders>
            <w:vAlign w:val="center"/>
          </w:tcPr>
          <w:p w14:paraId="7E6AE380">
            <w:pPr>
              <w:keepNext w:val="0"/>
              <w:keepLines w:val="0"/>
              <w:suppressLineNumbers w:val="0"/>
              <w:spacing w:before="0" w:beforeAutospacing="0" w:after="0" w:afterAutospacing="0"/>
              <w:ind w:left="0" w:right="0"/>
              <w:jc w:val="center"/>
              <w:rPr>
                <w:rFonts w:hint="default" w:cs="宋体" w:asciiTheme="minorEastAsia" w:hAnsiTheme="minorEastAsia" w:eastAsiaTheme="minorEastAsia"/>
                <w:color w:val="auto"/>
                <w:sz w:val="24"/>
              </w:rPr>
            </w:pPr>
            <w:r>
              <w:rPr>
                <w:rFonts w:hint="eastAsia" w:cs="宋体" w:asciiTheme="minorEastAsia" w:hAnsiTheme="minorEastAsia" w:eastAsiaTheme="minorEastAsia"/>
                <w:color w:val="auto"/>
                <w:sz w:val="24"/>
              </w:rPr>
              <w:t>职称</w:t>
            </w:r>
          </w:p>
        </w:tc>
        <w:tc>
          <w:tcPr>
            <w:tcW w:w="3808" w:type="dxa"/>
            <w:tcBorders>
              <w:top w:val="single" w:color="auto" w:sz="12" w:space="0"/>
              <w:bottom w:val="double" w:color="auto" w:sz="4" w:space="0"/>
              <w:right w:val="single" w:color="auto" w:sz="12" w:space="0"/>
            </w:tcBorders>
            <w:vAlign w:val="center"/>
          </w:tcPr>
          <w:p w14:paraId="51A17A35">
            <w:pPr>
              <w:keepNext w:val="0"/>
              <w:keepLines w:val="0"/>
              <w:suppressLineNumbers w:val="0"/>
              <w:spacing w:before="0" w:beforeAutospacing="0" w:after="0" w:afterAutospacing="0"/>
              <w:ind w:left="0" w:right="0"/>
              <w:jc w:val="center"/>
              <w:rPr>
                <w:rFonts w:hint="default" w:cs="宋体" w:asciiTheme="minorEastAsia" w:hAnsiTheme="minorEastAsia" w:eastAsiaTheme="minorEastAsia"/>
                <w:color w:val="auto"/>
                <w:sz w:val="24"/>
              </w:rPr>
            </w:pPr>
            <w:r>
              <w:rPr>
                <w:rFonts w:hint="eastAsia" w:cs="宋体" w:asciiTheme="minorEastAsia" w:hAnsiTheme="minorEastAsia" w:eastAsiaTheme="minorEastAsia"/>
                <w:color w:val="auto"/>
                <w:sz w:val="24"/>
              </w:rPr>
              <w:t>主要资历、经验及承担过的工程</w:t>
            </w:r>
          </w:p>
        </w:tc>
      </w:tr>
      <w:tr w14:paraId="5C12D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2" w:hRule="atLeast"/>
        </w:trPr>
        <w:tc>
          <w:tcPr>
            <w:tcW w:w="689" w:type="dxa"/>
            <w:vMerge w:val="restart"/>
            <w:tcBorders>
              <w:top w:val="double" w:color="auto" w:sz="4" w:space="0"/>
              <w:left w:val="single" w:color="auto" w:sz="12" w:space="0"/>
            </w:tcBorders>
            <w:vAlign w:val="center"/>
          </w:tcPr>
          <w:p w14:paraId="1A8B6B99">
            <w:pPr>
              <w:keepNext w:val="0"/>
              <w:keepLines w:val="0"/>
              <w:suppressLineNumbers w:val="0"/>
              <w:spacing w:before="0" w:beforeAutospacing="0" w:after="0" w:afterAutospacing="0"/>
              <w:ind w:left="0" w:right="0"/>
              <w:jc w:val="center"/>
              <w:rPr>
                <w:rFonts w:hint="default" w:cs="宋体" w:asciiTheme="minorEastAsia" w:hAnsiTheme="minorEastAsia" w:eastAsiaTheme="minorEastAsia"/>
                <w:color w:val="auto"/>
                <w:sz w:val="24"/>
              </w:rPr>
            </w:pPr>
            <w:r>
              <w:rPr>
                <w:rFonts w:hint="eastAsia" w:cs="宋体" w:asciiTheme="minorEastAsia" w:hAnsiTheme="minorEastAsia" w:eastAsiaTheme="minorEastAsia"/>
                <w:color w:val="auto"/>
                <w:sz w:val="24"/>
              </w:rPr>
              <w:t>总</w:t>
            </w:r>
          </w:p>
          <w:p w14:paraId="32DCF18E">
            <w:pPr>
              <w:keepNext w:val="0"/>
              <w:keepLines w:val="0"/>
              <w:suppressLineNumbers w:val="0"/>
              <w:spacing w:before="0" w:beforeAutospacing="0" w:after="0" w:afterAutospacing="0"/>
              <w:ind w:left="0" w:right="0"/>
              <w:jc w:val="center"/>
              <w:rPr>
                <w:rFonts w:hint="default" w:cs="宋体" w:asciiTheme="minorEastAsia" w:hAnsiTheme="minorEastAsia" w:eastAsiaTheme="minorEastAsia"/>
                <w:color w:val="auto"/>
                <w:sz w:val="24"/>
              </w:rPr>
            </w:pPr>
          </w:p>
          <w:p w14:paraId="1E604B54">
            <w:pPr>
              <w:keepNext w:val="0"/>
              <w:keepLines w:val="0"/>
              <w:suppressLineNumbers w:val="0"/>
              <w:spacing w:before="0" w:beforeAutospacing="0" w:after="0" w:afterAutospacing="0"/>
              <w:ind w:left="0" w:right="0"/>
              <w:jc w:val="center"/>
              <w:rPr>
                <w:rFonts w:hint="default" w:cs="宋体" w:asciiTheme="minorEastAsia" w:hAnsiTheme="minorEastAsia" w:eastAsiaTheme="minorEastAsia"/>
                <w:color w:val="auto"/>
                <w:sz w:val="24"/>
              </w:rPr>
            </w:pPr>
          </w:p>
          <w:p w14:paraId="0B4F08AA">
            <w:pPr>
              <w:keepNext w:val="0"/>
              <w:keepLines w:val="0"/>
              <w:suppressLineNumbers w:val="0"/>
              <w:spacing w:before="0" w:beforeAutospacing="0" w:after="0" w:afterAutospacing="0"/>
              <w:ind w:left="0" w:right="0"/>
              <w:jc w:val="center"/>
              <w:rPr>
                <w:rFonts w:hint="default" w:cs="宋体" w:asciiTheme="minorEastAsia" w:hAnsiTheme="minorEastAsia" w:eastAsiaTheme="minorEastAsia"/>
                <w:color w:val="auto"/>
                <w:sz w:val="24"/>
              </w:rPr>
            </w:pPr>
            <w:r>
              <w:rPr>
                <w:rFonts w:hint="eastAsia" w:cs="宋体" w:asciiTheme="minorEastAsia" w:hAnsiTheme="minorEastAsia" w:eastAsiaTheme="minorEastAsia"/>
                <w:color w:val="auto"/>
                <w:sz w:val="24"/>
              </w:rPr>
              <w:t>部</w:t>
            </w:r>
          </w:p>
        </w:tc>
        <w:tc>
          <w:tcPr>
            <w:tcW w:w="1804" w:type="dxa"/>
            <w:tcBorders>
              <w:top w:val="double" w:color="auto" w:sz="4" w:space="0"/>
            </w:tcBorders>
            <w:vAlign w:val="center"/>
          </w:tcPr>
          <w:p w14:paraId="269BE006">
            <w:pPr>
              <w:keepNext w:val="0"/>
              <w:keepLines w:val="0"/>
              <w:suppressLineNumbers w:val="0"/>
              <w:spacing w:before="0" w:beforeAutospacing="0" w:after="0" w:afterAutospacing="0"/>
              <w:ind w:left="0" w:right="0"/>
              <w:jc w:val="center"/>
              <w:rPr>
                <w:rFonts w:hint="default" w:cs="宋体" w:asciiTheme="minorEastAsia" w:hAnsiTheme="minorEastAsia" w:eastAsiaTheme="minorEastAsia"/>
                <w:color w:val="auto"/>
                <w:sz w:val="24"/>
              </w:rPr>
            </w:pPr>
            <w:r>
              <w:rPr>
                <w:rFonts w:hint="eastAsia" w:cs="宋体" w:asciiTheme="minorEastAsia" w:hAnsiTheme="minorEastAsia" w:eastAsiaTheme="minorEastAsia"/>
                <w:color w:val="auto"/>
                <w:sz w:val="24"/>
              </w:rPr>
              <w:t>项目主管</w:t>
            </w:r>
          </w:p>
        </w:tc>
        <w:tc>
          <w:tcPr>
            <w:tcW w:w="849" w:type="dxa"/>
            <w:tcBorders>
              <w:top w:val="double" w:color="auto" w:sz="4" w:space="0"/>
            </w:tcBorders>
            <w:vAlign w:val="center"/>
          </w:tcPr>
          <w:p w14:paraId="4431058C">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849" w:type="dxa"/>
            <w:tcBorders>
              <w:top w:val="double" w:color="auto" w:sz="4" w:space="0"/>
            </w:tcBorders>
            <w:vAlign w:val="center"/>
          </w:tcPr>
          <w:p w14:paraId="31EA830A">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849" w:type="dxa"/>
            <w:tcBorders>
              <w:top w:val="double" w:color="auto" w:sz="4" w:space="0"/>
            </w:tcBorders>
            <w:vAlign w:val="center"/>
          </w:tcPr>
          <w:p w14:paraId="6A17E8C3">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3808" w:type="dxa"/>
            <w:tcBorders>
              <w:top w:val="double" w:color="auto" w:sz="4" w:space="0"/>
              <w:right w:val="single" w:color="auto" w:sz="12" w:space="0"/>
            </w:tcBorders>
            <w:vAlign w:val="center"/>
          </w:tcPr>
          <w:p w14:paraId="4B99A8E2">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r>
      <w:tr w14:paraId="53D3E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2" w:hRule="atLeast"/>
        </w:trPr>
        <w:tc>
          <w:tcPr>
            <w:tcW w:w="689" w:type="dxa"/>
            <w:vMerge w:val="continue"/>
            <w:tcBorders>
              <w:left w:val="single" w:color="auto" w:sz="12" w:space="0"/>
            </w:tcBorders>
            <w:vAlign w:val="center"/>
          </w:tcPr>
          <w:p w14:paraId="6165A3F4">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1804" w:type="dxa"/>
            <w:vAlign w:val="center"/>
          </w:tcPr>
          <w:p w14:paraId="29351B23">
            <w:pPr>
              <w:keepNext w:val="0"/>
              <w:keepLines w:val="0"/>
              <w:suppressLineNumbers w:val="0"/>
              <w:spacing w:before="0" w:beforeAutospacing="0" w:after="0" w:afterAutospacing="0"/>
              <w:ind w:left="0" w:right="0"/>
              <w:jc w:val="center"/>
              <w:rPr>
                <w:rFonts w:hint="default" w:cs="宋体" w:asciiTheme="minorEastAsia" w:hAnsiTheme="minorEastAsia" w:eastAsiaTheme="minorEastAsia"/>
                <w:color w:val="auto"/>
                <w:sz w:val="24"/>
              </w:rPr>
            </w:pPr>
            <w:r>
              <w:rPr>
                <w:rFonts w:hint="eastAsia" w:cs="宋体" w:asciiTheme="minorEastAsia" w:hAnsiTheme="minorEastAsia" w:eastAsiaTheme="minorEastAsia"/>
                <w:color w:val="auto"/>
                <w:sz w:val="24"/>
              </w:rPr>
              <w:t>技术负责人</w:t>
            </w:r>
          </w:p>
        </w:tc>
        <w:tc>
          <w:tcPr>
            <w:tcW w:w="849" w:type="dxa"/>
            <w:vAlign w:val="center"/>
          </w:tcPr>
          <w:p w14:paraId="023E2782">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849" w:type="dxa"/>
            <w:vAlign w:val="center"/>
          </w:tcPr>
          <w:p w14:paraId="223EE2E8">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849" w:type="dxa"/>
            <w:vAlign w:val="center"/>
          </w:tcPr>
          <w:p w14:paraId="6AD9DBD5">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3808" w:type="dxa"/>
            <w:tcBorders>
              <w:right w:val="single" w:color="auto" w:sz="12" w:space="0"/>
            </w:tcBorders>
            <w:vAlign w:val="center"/>
          </w:tcPr>
          <w:p w14:paraId="0F76453A">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r>
      <w:tr w14:paraId="6A44B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2" w:hRule="atLeast"/>
        </w:trPr>
        <w:tc>
          <w:tcPr>
            <w:tcW w:w="689" w:type="dxa"/>
            <w:vMerge w:val="continue"/>
            <w:tcBorders>
              <w:left w:val="single" w:color="auto" w:sz="12" w:space="0"/>
            </w:tcBorders>
            <w:vAlign w:val="center"/>
          </w:tcPr>
          <w:p w14:paraId="35735C74">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1804" w:type="dxa"/>
            <w:vAlign w:val="center"/>
          </w:tcPr>
          <w:p w14:paraId="7AC55372">
            <w:pPr>
              <w:keepNext w:val="0"/>
              <w:keepLines w:val="0"/>
              <w:suppressLineNumbers w:val="0"/>
              <w:spacing w:before="0" w:beforeAutospacing="0" w:after="0" w:afterAutospacing="0"/>
              <w:ind w:left="0" w:right="0"/>
              <w:jc w:val="center"/>
              <w:rPr>
                <w:rFonts w:hint="default" w:cs="宋体" w:asciiTheme="minorEastAsia" w:hAnsiTheme="minorEastAsia" w:eastAsiaTheme="minorEastAsia"/>
                <w:color w:val="auto"/>
                <w:sz w:val="24"/>
              </w:rPr>
            </w:pPr>
          </w:p>
        </w:tc>
        <w:tc>
          <w:tcPr>
            <w:tcW w:w="849" w:type="dxa"/>
            <w:vAlign w:val="center"/>
          </w:tcPr>
          <w:p w14:paraId="24913AE4">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849" w:type="dxa"/>
            <w:vAlign w:val="center"/>
          </w:tcPr>
          <w:p w14:paraId="396CABF3">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849" w:type="dxa"/>
            <w:vAlign w:val="center"/>
          </w:tcPr>
          <w:p w14:paraId="51A7A4BD">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3808" w:type="dxa"/>
            <w:tcBorders>
              <w:right w:val="single" w:color="auto" w:sz="12" w:space="0"/>
            </w:tcBorders>
            <w:vAlign w:val="center"/>
          </w:tcPr>
          <w:p w14:paraId="7CAB3950">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r>
      <w:tr w14:paraId="07E62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2" w:hRule="atLeast"/>
        </w:trPr>
        <w:tc>
          <w:tcPr>
            <w:tcW w:w="689" w:type="dxa"/>
            <w:vMerge w:val="continue"/>
            <w:tcBorders>
              <w:left w:val="single" w:color="auto" w:sz="12" w:space="0"/>
            </w:tcBorders>
            <w:vAlign w:val="center"/>
          </w:tcPr>
          <w:p w14:paraId="5BB38523">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1804" w:type="dxa"/>
            <w:vAlign w:val="center"/>
          </w:tcPr>
          <w:p w14:paraId="2960892C">
            <w:pPr>
              <w:keepNext w:val="0"/>
              <w:keepLines w:val="0"/>
              <w:suppressLineNumbers w:val="0"/>
              <w:spacing w:before="0" w:beforeAutospacing="0" w:after="0" w:afterAutospacing="0"/>
              <w:ind w:left="0" w:right="0"/>
              <w:jc w:val="center"/>
              <w:rPr>
                <w:rFonts w:hint="default" w:cs="宋体" w:asciiTheme="minorEastAsia" w:hAnsiTheme="minorEastAsia" w:eastAsiaTheme="minorEastAsia"/>
                <w:color w:val="auto"/>
                <w:sz w:val="24"/>
              </w:rPr>
            </w:pPr>
          </w:p>
        </w:tc>
        <w:tc>
          <w:tcPr>
            <w:tcW w:w="849" w:type="dxa"/>
            <w:vAlign w:val="center"/>
          </w:tcPr>
          <w:p w14:paraId="21EE5321">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849" w:type="dxa"/>
            <w:vAlign w:val="center"/>
          </w:tcPr>
          <w:p w14:paraId="0530EA59">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849" w:type="dxa"/>
            <w:vAlign w:val="center"/>
          </w:tcPr>
          <w:p w14:paraId="6B8ED454">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3808" w:type="dxa"/>
            <w:tcBorders>
              <w:right w:val="single" w:color="auto" w:sz="12" w:space="0"/>
            </w:tcBorders>
            <w:vAlign w:val="center"/>
          </w:tcPr>
          <w:p w14:paraId="0DAC9EEB">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r>
      <w:tr w14:paraId="1B8FA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52" w:hRule="atLeast"/>
        </w:trPr>
        <w:tc>
          <w:tcPr>
            <w:tcW w:w="689" w:type="dxa"/>
            <w:vMerge w:val="continue"/>
            <w:tcBorders>
              <w:left w:val="single" w:color="auto" w:sz="12" w:space="0"/>
            </w:tcBorders>
            <w:vAlign w:val="center"/>
          </w:tcPr>
          <w:p w14:paraId="10BE5AC3">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1804" w:type="dxa"/>
            <w:vAlign w:val="center"/>
          </w:tcPr>
          <w:p w14:paraId="5CC459EA">
            <w:pPr>
              <w:keepNext w:val="0"/>
              <w:keepLines w:val="0"/>
              <w:suppressLineNumbers w:val="0"/>
              <w:spacing w:before="0" w:beforeAutospacing="0" w:after="0" w:afterAutospacing="0"/>
              <w:ind w:left="0" w:right="0"/>
              <w:jc w:val="center"/>
              <w:rPr>
                <w:rFonts w:hint="default" w:cs="宋体" w:asciiTheme="minorEastAsia" w:hAnsiTheme="minorEastAsia" w:eastAsiaTheme="minorEastAsia"/>
                <w:color w:val="auto"/>
                <w:sz w:val="24"/>
              </w:rPr>
            </w:pPr>
          </w:p>
        </w:tc>
        <w:tc>
          <w:tcPr>
            <w:tcW w:w="849" w:type="dxa"/>
            <w:vAlign w:val="center"/>
          </w:tcPr>
          <w:p w14:paraId="39299137">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849" w:type="dxa"/>
            <w:vAlign w:val="center"/>
          </w:tcPr>
          <w:p w14:paraId="05F4B631">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849" w:type="dxa"/>
            <w:vAlign w:val="center"/>
          </w:tcPr>
          <w:p w14:paraId="017198AC">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3808" w:type="dxa"/>
            <w:tcBorders>
              <w:right w:val="single" w:color="auto" w:sz="12" w:space="0"/>
            </w:tcBorders>
            <w:vAlign w:val="center"/>
          </w:tcPr>
          <w:p w14:paraId="1F2C7DAD">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r>
      <w:tr w14:paraId="4C99D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52" w:hRule="atLeast"/>
        </w:trPr>
        <w:tc>
          <w:tcPr>
            <w:tcW w:w="689" w:type="dxa"/>
            <w:vMerge w:val="continue"/>
            <w:tcBorders>
              <w:left w:val="single" w:color="auto" w:sz="12" w:space="0"/>
            </w:tcBorders>
            <w:vAlign w:val="center"/>
          </w:tcPr>
          <w:p w14:paraId="3D86974D">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1804" w:type="dxa"/>
            <w:vAlign w:val="center"/>
          </w:tcPr>
          <w:p w14:paraId="1B7E7664">
            <w:pPr>
              <w:keepNext w:val="0"/>
              <w:keepLines w:val="0"/>
              <w:suppressLineNumbers w:val="0"/>
              <w:spacing w:before="0" w:beforeAutospacing="0" w:after="0" w:afterAutospacing="0"/>
              <w:ind w:left="0" w:right="0"/>
              <w:jc w:val="center"/>
              <w:rPr>
                <w:rFonts w:hint="default" w:cs="宋体" w:asciiTheme="minorEastAsia" w:hAnsiTheme="minorEastAsia" w:eastAsiaTheme="minorEastAsia"/>
                <w:color w:val="auto"/>
                <w:sz w:val="24"/>
              </w:rPr>
            </w:pPr>
          </w:p>
        </w:tc>
        <w:tc>
          <w:tcPr>
            <w:tcW w:w="849" w:type="dxa"/>
            <w:vAlign w:val="center"/>
          </w:tcPr>
          <w:p w14:paraId="1B0A59EF">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849" w:type="dxa"/>
            <w:vAlign w:val="center"/>
          </w:tcPr>
          <w:p w14:paraId="7E7E9499">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849" w:type="dxa"/>
            <w:vAlign w:val="center"/>
          </w:tcPr>
          <w:p w14:paraId="4B0D103E">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3808" w:type="dxa"/>
            <w:tcBorders>
              <w:right w:val="single" w:color="auto" w:sz="12" w:space="0"/>
            </w:tcBorders>
            <w:vAlign w:val="center"/>
          </w:tcPr>
          <w:p w14:paraId="0188C33F">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r>
      <w:tr w14:paraId="73E3B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52" w:hRule="atLeast"/>
        </w:trPr>
        <w:tc>
          <w:tcPr>
            <w:tcW w:w="689" w:type="dxa"/>
            <w:vMerge w:val="continue"/>
            <w:tcBorders>
              <w:left w:val="single" w:color="auto" w:sz="12" w:space="0"/>
            </w:tcBorders>
            <w:vAlign w:val="center"/>
          </w:tcPr>
          <w:p w14:paraId="565AF651">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1804" w:type="dxa"/>
            <w:vAlign w:val="center"/>
          </w:tcPr>
          <w:p w14:paraId="65E9A1D2">
            <w:pPr>
              <w:keepNext w:val="0"/>
              <w:keepLines w:val="0"/>
              <w:suppressLineNumbers w:val="0"/>
              <w:spacing w:before="0" w:beforeAutospacing="0" w:after="0" w:afterAutospacing="0"/>
              <w:ind w:left="0" w:right="0"/>
              <w:jc w:val="center"/>
              <w:rPr>
                <w:rFonts w:hint="default" w:cs="宋体" w:asciiTheme="minorEastAsia" w:hAnsiTheme="minorEastAsia" w:eastAsiaTheme="minorEastAsia"/>
                <w:color w:val="auto"/>
                <w:sz w:val="24"/>
              </w:rPr>
            </w:pPr>
          </w:p>
        </w:tc>
        <w:tc>
          <w:tcPr>
            <w:tcW w:w="849" w:type="dxa"/>
            <w:vAlign w:val="center"/>
          </w:tcPr>
          <w:p w14:paraId="14CE67D8">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849" w:type="dxa"/>
            <w:vAlign w:val="center"/>
          </w:tcPr>
          <w:p w14:paraId="055C67E3">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849" w:type="dxa"/>
            <w:vAlign w:val="center"/>
          </w:tcPr>
          <w:p w14:paraId="635A288C">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3808" w:type="dxa"/>
            <w:tcBorders>
              <w:right w:val="single" w:color="auto" w:sz="12" w:space="0"/>
            </w:tcBorders>
            <w:vAlign w:val="center"/>
          </w:tcPr>
          <w:p w14:paraId="427F1A4F">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r>
      <w:tr w14:paraId="7CC85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52" w:hRule="atLeast"/>
        </w:trPr>
        <w:tc>
          <w:tcPr>
            <w:tcW w:w="689" w:type="dxa"/>
            <w:vMerge w:val="continue"/>
            <w:tcBorders>
              <w:left w:val="single" w:color="auto" w:sz="12" w:space="0"/>
            </w:tcBorders>
            <w:vAlign w:val="center"/>
          </w:tcPr>
          <w:p w14:paraId="0A55ACE2">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1804" w:type="dxa"/>
            <w:vAlign w:val="center"/>
          </w:tcPr>
          <w:p w14:paraId="44679D53">
            <w:pPr>
              <w:keepNext w:val="0"/>
              <w:keepLines w:val="0"/>
              <w:suppressLineNumbers w:val="0"/>
              <w:spacing w:before="0" w:beforeAutospacing="0" w:after="0" w:afterAutospacing="0"/>
              <w:ind w:left="0" w:right="0"/>
              <w:jc w:val="center"/>
              <w:rPr>
                <w:rFonts w:hint="default" w:cs="宋体" w:asciiTheme="minorEastAsia" w:hAnsiTheme="minorEastAsia" w:eastAsiaTheme="minorEastAsia"/>
                <w:color w:val="auto"/>
                <w:sz w:val="24"/>
              </w:rPr>
            </w:pPr>
          </w:p>
        </w:tc>
        <w:tc>
          <w:tcPr>
            <w:tcW w:w="849" w:type="dxa"/>
            <w:vAlign w:val="center"/>
          </w:tcPr>
          <w:p w14:paraId="618C27DD">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849" w:type="dxa"/>
            <w:vAlign w:val="center"/>
          </w:tcPr>
          <w:p w14:paraId="1BEE44B9">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849" w:type="dxa"/>
            <w:vAlign w:val="center"/>
          </w:tcPr>
          <w:p w14:paraId="198215DA">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3808" w:type="dxa"/>
            <w:tcBorders>
              <w:right w:val="single" w:color="auto" w:sz="12" w:space="0"/>
            </w:tcBorders>
            <w:vAlign w:val="center"/>
          </w:tcPr>
          <w:p w14:paraId="43170027">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r>
      <w:tr w14:paraId="62549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52" w:hRule="atLeast"/>
        </w:trPr>
        <w:tc>
          <w:tcPr>
            <w:tcW w:w="689" w:type="dxa"/>
            <w:vMerge w:val="restart"/>
            <w:tcBorders>
              <w:left w:val="single" w:color="auto" w:sz="12" w:space="0"/>
            </w:tcBorders>
            <w:vAlign w:val="center"/>
          </w:tcPr>
          <w:p w14:paraId="7126ED42">
            <w:pPr>
              <w:keepNext w:val="0"/>
              <w:keepLines w:val="0"/>
              <w:suppressLineNumbers w:val="0"/>
              <w:spacing w:before="0" w:beforeAutospacing="0" w:after="0" w:afterAutospacing="0"/>
              <w:ind w:left="0" w:right="0"/>
              <w:jc w:val="center"/>
              <w:rPr>
                <w:rFonts w:hint="default" w:cs="宋体" w:asciiTheme="minorEastAsia" w:hAnsiTheme="minorEastAsia" w:eastAsiaTheme="minorEastAsia"/>
                <w:color w:val="auto"/>
                <w:sz w:val="24"/>
              </w:rPr>
            </w:pPr>
            <w:r>
              <w:rPr>
                <w:rFonts w:hint="eastAsia" w:cs="宋体" w:asciiTheme="minorEastAsia" w:hAnsiTheme="minorEastAsia" w:eastAsiaTheme="minorEastAsia"/>
                <w:color w:val="auto"/>
                <w:sz w:val="24"/>
              </w:rPr>
              <w:t>现</w:t>
            </w:r>
          </w:p>
          <w:p w14:paraId="0926CF90">
            <w:pPr>
              <w:keepNext w:val="0"/>
              <w:keepLines w:val="0"/>
              <w:suppressLineNumbers w:val="0"/>
              <w:spacing w:before="0" w:beforeAutospacing="0" w:after="0" w:afterAutospacing="0"/>
              <w:ind w:left="0" w:right="0"/>
              <w:jc w:val="center"/>
              <w:rPr>
                <w:rFonts w:hint="default" w:cs="宋体" w:asciiTheme="minorEastAsia" w:hAnsiTheme="minorEastAsia" w:eastAsiaTheme="minorEastAsia"/>
                <w:color w:val="auto"/>
                <w:sz w:val="24"/>
              </w:rPr>
            </w:pPr>
          </w:p>
          <w:p w14:paraId="1F62AA4F">
            <w:pPr>
              <w:keepNext w:val="0"/>
              <w:keepLines w:val="0"/>
              <w:suppressLineNumbers w:val="0"/>
              <w:spacing w:before="0" w:beforeAutospacing="0" w:after="0" w:afterAutospacing="0"/>
              <w:ind w:left="0" w:right="0"/>
              <w:jc w:val="center"/>
              <w:rPr>
                <w:rFonts w:hint="default" w:cs="宋体" w:asciiTheme="minorEastAsia" w:hAnsiTheme="minorEastAsia" w:eastAsiaTheme="minorEastAsia"/>
                <w:color w:val="auto"/>
                <w:sz w:val="24"/>
              </w:rPr>
            </w:pPr>
          </w:p>
          <w:p w14:paraId="7E782EAF">
            <w:pPr>
              <w:keepNext w:val="0"/>
              <w:keepLines w:val="0"/>
              <w:suppressLineNumbers w:val="0"/>
              <w:spacing w:before="0" w:beforeAutospacing="0" w:after="0" w:afterAutospacing="0"/>
              <w:ind w:left="0" w:right="0"/>
              <w:jc w:val="center"/>
              <w:rPr>
                <w:rFonts w:hint="default" w:cs="宋体" w:asciiTheme="minorEastAsia" w:hAnsiTheme="minorEastAsia" w:eastAsiaTheme="minorEastAsia"/>
                <w:color w:val="auto"/>
                <w:sz w:val="24"/>
              </w:rPr>
            </w:pPr>
            <w:r>
              <w:rPr>
                <w:rFonts w:hint="eastAsia" w:cs="宋体" w:asciiTheme="minorEastAsia" w:hAnsiTheme="minorEastAsia" w:eastAsiaTheme="minorEastAsia"/>
                <w:color w:val="auto"/>
                <w:sz w:val="24"/>
              </w:rPr>
              <w:t>场</w:t>
            </w:r>
          </w:p>
        </w:tc>
        <w:tc>
          <w:tcPr>
            <w:tcW w:w="1804" w:type="dxa"/>
          </w:tcPr>
          <w:p w14:paraId="4F28C766">
            <w:pPr>
              <w:keepNext w:val="0"/>
              <w:keepLines w:val="0"/>
              <w:suppressLineNumbers w:val="0"/>
              <w:spacing w:before="0" w:beforeAutospacing="0" w:after="0" w:afterAutospacing="0" w:line="360" w:lineRule="auto"/>
              <w:ind w:left="0" w:right="0"/>
              <w:rPr>
                <w:rFonts w:hint="default" w:asciiTheme="minorEastAsia" w:hAnsiTheme="minorEastAsia" w:eastAsiaTheme="minorEastAsia"/>
                <w:color w:val="auto"/>
                <w:position w:val="-42"/>
                <w:sz w:val="25"/>
              </w:rPr>
            </w:pPr>
            <w:r>
              <w:rPr>
                <w:rFonts w:hint="eastAsia" w:asciiTheme="minorEastAsia" w:hAnsiTheme="minorEastAsia" w:eastAsiaTheme="minorEastAsia"/>
                <w:color w:val="auto"/>
                <w:position w:val="-42"/>
                <w:sz w:val="25"/>
              </w:rPr>
              <w:t>项目负责人</w:t>
            </w:r>
          </w:p>
        </w:tc>
        <w:tc>
          <w:tcPr>
            <w:tcW w:w="849" w:type="dxa"/>
            <w:vAlign w:val="center"/>
          </w:tcPr>
          <w:p w14:paraId="1DD1B526">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849" w:type="dxa"/>
            <w:vAlign w:val="center"/>
          </w:tcPr>
          <w:p w14:paraId="05BB7614">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849" w:type="dxa"/>
            <w:vAlign w:val="center"/>
          </w:tcPr>
          <w:p w14:paraId="7FA1942A">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3808" w:type="dxa"/>
            <w:tcBorders>
              <w:right w:val="single" w:color="auto" w:sz="12" w:space="0"/>
            </w:tcBorders>
            <w:vAlign w:val="center"/>
          </w:tcPr>
          <w:p w14:paraId="23C29B60">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r>
      <w:tr w14:paraId="1D1A3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2" w:hRule="atLeast"/>
        </w:trPr>
        <w:tc>
          <w:tcPr>
            <w:tcW w:w="689" w:type="dxa"/>
            <w:vMerge w:val="continue"/>
            <w:tcBorders>
              <w:left w:val="single" w:color="auto" w:sz="12" w:space="0"/>
            </w:tcBorders>
            <w:vAlign w:val="center"/>
          </w:tcPr>
          <w:p w14:paraId="5E33C945">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1804" w:type="dxa"/>
          </w:tcPr>
          <w:p w14:paraId="3DE0AAC4">
            <w:pPr>
              <w:keepNext w:val="0"/>
              <w:keepLines w:val="0"/>
              <w:suppressLineNumbers w:val="0"/>
              <w:spacing w:before="0" w:beforeAutospacing="0" w:after="0" w:afterAutospacing="0" w:line="360" w:lineRule="auto"/>
              <w:ind w:left="0" w:right="0"/>
              <w:rPr>
                <w:rFonts w:hint="default" w:asciiTheme="minorEastAsia" w:hAnsiTheme="minorEastAsia" w:eastAsiaTheme="minorEastAsia"/>
                <w:color w:val="auto"/>
                <w:position w:val="-42"/>
                <w:sz w:val="25"/>
              </w:rPr>
            </w:pPr>
            <w:r>
              <w:rPr>
                <w:rFonts w:hint="eastAsia" w:asciiTheme="minorEastAsia" w:hAnsiTheme="minorEastAsia" w:eastAsiaTheme="minorEastAsia"/>
                <w:color w:val="auto"/>
                <w:position w:val="-42"/>
                <w:sz w:val="25"/>
              </w:rPr>
              <w:t>技术负责人</w:t>
            </w:r>
          </w:p>
        </w:tc>
        <w:tc>
          <w:tcPr>
            <w:tcW w:w="849" w:type="dxa"/>
            <w:vAlign w:val="center"/>
          </w:tcPr>
          <w:p w14:paraId="4F27B2E6">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849" w:type="dxa"/>
            <w:vAlign w:val="center"/>
          </w:tcPr>
          <w:p w14:paraId="307DB45C">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849" w:type="dxa"/>
            <w:vAlign w:val="center"/>
          </w:tcPr>
          <w:p w14:paraId="4AB2B62B">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3808" w:type="dxa"/>
            <w:tcBorders>
              <w:right w:val="single" w:color="auto" w:sz="12" w:space="0"/>
            </w:tcBorders>
            <w:vAlign w:val="center"/>
          </w:tcPr>
          <w:p w14:paraId="39D06BBB">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r>
      <w:tr w14:paraId="32000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2" w:hRule="atLeast"/>
        </w:trPr>
        <w:tc>
          <w:tcPr>
            <w:tcW w:w="689" w:type="dxa"/>
            <w:vMerge w:val="continue"/>
            <w:tcBorders>
              <w:left w:val="single" w:color="auto" w:sz="12" w:space="0"/>
            </w:tcBorders>
            <w:vAlign w:val="center"/>
          </w:tcPr>
          <w:p w14:paraId="40F92427">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1804" w:type="dxa"/>
          </w:tcPr>
          <w:p w14:paraId="04545943">
            <w:pPr>
              <w:keepNext w:val="0"/>
              <w:keepLines w:val="0"/>
              <w:suppressLineNumbers w:val="0"/>
              <w:spacing w:before="0" w:beforeAutospacing="0" w:after="0" w:afterAutospacing="0" w:line="360" w:lineRule="auto"/>
              <w:ind w:left="0" w:right="0"/>
              <w:rPr>
                <w:rFonts w:hint="default" w:asciiTheme="minorEastAsia" w:hAnsiTheme="minorEastAsia" w:eastAsiaTheme="minorEastAsia"/>
                <w:color w:val="auto"/>
                <w:position w:val="-42"/>
                <w:sz w:val="25"/>
              </w:rPr>
            </w:pPr>
            <w:r>
              <w:rPr>
                <w:rFonts w:hint="eastAsia" w:asciiTheme="minorEastAsia" w:hAnsiTheme="minorEastAsia" w:eastAsiaTheme="minorEastAsia"/>
                <w:color w:val="auto"/>
                <w:position w:val="-42"/>
                <w:sz w:val="25"/>
              </w:rPr>
              <w:t>质量员</w:t>
            </w:r>
          </w:p>
        </w:tc>
        <w:tc>
          <w:tcPr>
            <w:tcW w:w="849" w:type="dxa"/>
            <w:vAlign w:val="center"/>
          </w:tcPr>
          <w:p w14:paraId="2113318C">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849" w:type="dxa"/>
            <w:vAlign w:val="center"/>
          </w:tcPr>
          <w:p w14:paraId="3A250331">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849" w:type="dxa"/>
            <w:vAlign w:val="center"/>
          </w:tcPr>
          <w:p w14:paraId="460CB50B">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3808" w:type="dxa"/>
            <w:tcBorders>
              <w:right w:val="single" w:color="auto" w:sz="12" w:space="0"/>
            </w:tcBorders>
            <w:vAlign w:val="center"/>
          </w:tcPr>
          <w:p w14:paraId="2DD01822">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r>
      <w:tr w14:paraId="3AA01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2" w:hRule="atLeast"/>
        </w:trPr>
        <w:tc>
          <w:tcPr>
            <w:tcW w:w="689" w:type="dxa"/>
            <w:vMerge w:val="continue"/>
            <w:tcBorders>
              <w:left w:val="single" w:color="auto" w:sz="12" w:space="0"/>
            </w:tcBorders>
            <w:vAlign w:val="center"/>
          </w:tcPr>
          <w:p w14:paraId="4A89702E">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1804" w:type="dxa"/>
          </w:tcPr>
          <w:p w14:paraId="2C8C4DCB">
            <w:pPr>
              <w:keepNext w:val="0"/>
              <w:keepLines w:val="0"/>
              <w:suppressLineNumbers w:val="0"/>
              <w:spacing w:before="0" w:beforeAutospacing="0" w:after="0" w:afterAutospacing="0" w:line="360" w:lineRule="auto"/>
              <w:ind w:left="0" w:right="0"/>
              <w:rPr>
                <w:rFonts w:hint="default" w:asciiTheme="minorEastAsia" w:hAnsiTheme="minorEastAsia" w:eastAsiaTheme="minorEastAsia"/>
                <w:color w:val="auto"/>
                <w:position w:val="-42"/>
                <w:sz w:val="25"/>
              </w:rPr>
            </w:pPr>
            <w:r>
              <w:rPr>
                <w:rFonts w:hint="eastAsia" w:asciiTheme="minorEastAsia" w:hAnsiTheme="minorEastAsia" w:eastAsiaTheme="minorEastAsia"/>
                <w:color w:val="auto"/>
                <w:position w:val="-42"/>
                <w:sz w:val="25"/>
              </w:rPr>
              <w:t>安全员</w:t>
            </w:r>
          </w:p>
        </w:tc>
        <w:tc>
          <w:tcPr>
            <w:tcW w:w="849" w:type="dxa"/>
            <w:vAlign w:val="center"/>
          </w:tcPr>
          <w:p w14:paraId="0194F563">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849" w:type="dxa"/>
            <w:vAlign w:val="center"/>
          </w:tcPr>
          <w:p w14:paraId="55982AC6">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849" w:type="dxa"/>
            <w:vAlign w:val="center"/>
          </w:tcPr>
          <w:p w14:paraId="0C6989AA">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3808" w:type="dxa"/>
            <w:tcBorders>
              <w:right w:val="single" w:color="auto" w:sz="12" w:space="0"/>
            </w:tcBorders>
            <w:vAlign w:val="center"/>
          </w:tcPr>
          <w:p w14:paraId="13BAEBE5">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r>
      <w:tr w14:paraId="27372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2" w:hRule="atLeast"/>
        </w:trPr>
        <w:tc>
          <w:tcPr>
            <w:tcW w:w="689" w:type="dxa"/>
            <w:vMerge w:val="continue"/>
            <w:tcBorders>
              <w:left w:val="single" w:color="auto" w:sz="12" w:space="0"/>
            </w:tcBorders>
            <w:vAlign w:val="center"/>
          </w:tcPr>
          <w:p w14:paraId="02CBADC0">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1804" w:type="dxa"/>
          </w:tcPr>
          <w:p w14:paraId="6185508B">
            <w:pPr>
              <w:keepNext w:val="0"/>
              <w:keepLines w:val="0"/>
              <w:suppressLineNumbers w:val="0"/>
              <w:spacing w:before="0" w:beforeAutospacing="0" w:after="0" w:afterAutospacing="0" w:line="360" w:lineRule="auto"/>
              <w:ind w:left="0" w:right="0"/>
              <w:rPr>
                <w:rFonts w:hint="default" w:asciiTheme="minorEastAsia" w:hAnsiTheme="minorEastAsia" w:eastAsiaTheme="minorEastAsia"/>
                <w:color w:val="auto"/>
                <w:position w:val="-42"/>
                <w:sz w:val="25"/>
              </w:rPr>
            </w:pPr>
            <w:r>
              <w:rPr>
                <w:rFonts w:hint="eastAsia" w:asciiTheme="minorEastAsia" w:hAnsiTheme="minorEastAsia" w:eastAsiaTheme="minorEastAsia"/>
                <w:color w:val="auto"/>
                <w:position w:val="-42"/>
                <w:sz w:val="25"/>
              </w:rPr>
              <w:t>施工员</w:t>
            </w:r>
          </w:p>
        </w:tc>
        <w:tc>
          <w:tcPr>
            <w:tcW w:w="849" w:type="dxa"/>
            <w:vAlign w:val="center"/>
          </w:tcPr>
          <w:p w14:paraId="690DBFBD">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849" w:type="dxa"/>
            <w:vAlign w:val="center"/>
          </w:tcPr>
          <w:p w14:paraId="4DA486BE">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849" w:type="dxa"/>
            <w:vAlign w:val="center"/>
          </w:tcPr>
          <w:p w14:paraId="585C2916">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3808" w:type="dxa"/>
            <w:tcBorders>
              <w:right w:val="single" w:color="auto" w:sz="12" w:space="0"/>
            </w:tcBorders>
            <w:vAlign w:val="center"/>
          </w:tcPr>
          <w:p w14:paraId="3E332264">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r>
      <w:tr w14:paraId="0EA62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2" w:hRule="atLeast"/>
        </w:trPr>
        <w:tc>
          <w:tcPr>
            <w:tcW w:w="689" w:type="dxa"/>
            <w:vMerge w:val="continue"/>
            <w:tcBorders>
              <w:left w:val="single" w:color="auto" w:sz="12" w:space="0"/>
            </w:tcBorders>
            <w:vAlign w:val="center"/>
          </w:tcPr>
          <w:p w14:paraId="09723173">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1804" w:type="dxa"/>
          </w:tcPr>
          <w:p w14:paraId="0A6BA973">
            <w:pPr>
              <w:keepNext w:val="0"/>
              <w:keepLines w:val="0"/>
              <w:suppressLineNumbers w:val="0"/>
              <w:spacing w:before="0" w:beforeAutospacing="0" w:after="0" w:afterAutospacing="0" w:line="360" w:lineRule="auto"/>
              <w:ind w:left="0" w:right="0"/>
              <w:rPr>
                <w:rFonts w:hint="default" w:asciiTheme="minorEastAsia" w:hAnsiTheme="minorEastAsia" w:eastAsiaTheme="minorEastAsia"/>
                <w:color w:val="auto"/>
                <w:position w:val="-42"/>
                <w:sz w:val="25"/>
              </w:rPr>
            </w:pPr>
          </w:p>
        </w:tc>
        <w:tc>
          <w:tcPr>
            <w:tcW w:w="849" w:type="dxa"/>
            <w:vAlign w:val="center"/>
          </w:tcPr>
          <w:p w14:paraId="77E1A2DB">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849" w:type="dxa"/>
            <w:vAlign w:val="center"/>
          </w:tcPr>
          <w:p w14:paraId="00C82CA0">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849" w:type="dxa"/>
            <w:vAlign w:val="center"/>
          </w:tcPr>
          <w:p w14:paraId="59ED8AEA">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3808" w:type="dxa"/>
            <w:tcBorders>
              <w:right w:val="single" w:color="auto" w:sz="12" w:space="0"/>
            </w:tcBorders>
            <w:vAlign w:val="center"/>
          </w:tcPr>
          <w:p w14:paraId="077A8733">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r>
      <w:tr w14:paraId="3FA91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2" w:hRule="atLeast"/>
        </w:trPr>
        <w:tc>
          <w:tcPr>
            <w:tcW w:w="689" w:type="dxa"/>
            <w:vMerge w:val="continue"/>
            <w:tcBorders>
              <w:left w:val="single" w:color="auto" w:sz="12" w:space="0"/>
            </w:tcBorders>
            <w:vAlign w:val="center"/>
          </w:tcPr>
          <w:p w14:paraId="59E4AA08">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1804" w:type="dxa"/>
            <w:vAlign w:val="center"/>
          </w:tcPr>
          <w:p w14:paraId="584FD21E">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849" w:type="dxa"/>
            <w:vAlign w:val="center"/>
          </w:tcPr>
          <w:p w14:paraId="1B40F075">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849" w:type="dxa"/>
            <w:vAlign w:val="center"/>
          </w:tcPr>
          <w:p w14:paraId="6192D5F4">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849" w:type="dxa"/>
            <w:vAlign w:val="center"/>
          </w:tcPr>
          <w:p w14:paraId="7C22D2BC">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3808" w:type="dxa"/>
            <w:tcBorders>
              <w:right w:val="single" w:color="auto" w:sz="12" w:space="0"/>
            </w:tcBorders>
            <w:vAlign w:val="center"/>
          </w:tcPr>
          <w:p w14:paraId="172EC945">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r>
      <w:tr w14:paraId="43425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52" w:hRule="atLeast"/>
        </w:trPr>
        <w:tc>
          <w:tcPr>
            <w:tcW w:w="689" w:type="dxa"/>
            <w:vMerge w:val="continue"/>
            <w:tcBorders>
              <w:left w:val="single" w:color="auto" w:sz="12" w:space="0"/>
              <w:bottom w:val="single" w:color="auto" w:sz="12" w:space="0"/>
            </w:tcBorders>
            <w:vAlign w:val="center"/>
          </w:tcPr>
          <w:p w14:paraId="0EF9B2DD">
            <w:pPr>
              <w:keepNext w:val="0"/>
              <w:keepLines w:val="0"/>
              <w:suppressLineNumbers w:val="0"/>
              <w:spacing w:before="0" w:beforeAutospacing="0" w:after="0" w:afterAutospacing="0" w:line="360" w:lineRule="auto"/>
              <w:ind w:left="0" w:right="0"/>
              <w:jc w:val="center"/>
              <w:rPr>
                <w:rFonts w:hint="default" w:cs="宋体" w:asciiTheme="minorEastAsia" w:hAnsiTheme="minorEastAsia" w:eastAsiaTheme="minorEastAsia"/>
                <w:color w:val="auto"/>
                <w:sz w:val="24"/>
              </w:rPr>
            </w:pPr>
          </w:p>
        </w:tc>
        <w:tc>
          <w:tcPr>
            <w:tcW w:w="1804" w:type="dxa"/>
            <w:tcBorders>
              <w:bottom w:val="single" w:color="auto" w:sz="12" w:space="0"/>
            </w:tcBorders>
            <w:vAlign w:val="center"/>
          </w:tcPr>
          <w:p w14:paraId="325E1CAD">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849" w:type="dxa"/>
            <w:tcBorders>
              <w:bottom w:val="single" w:color="auto" w:sz="12" w:space="0"/>
            </w:tcBorders>
            <w:vAlign w:val="center"/>
          </w:tcPr>
          <w:p w14:paraId="2B8F469C">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849" w:type="dxa"/>
            <w:tcBorders>
              <w:bottom w:val="single" w:color="auto" w:sz="12" w:space="0"/>
            </w:tcBorders>
            <w:vAlign w:val="center"/>
          </w:tcPr>
          <w:p w14:paraId="5A831F1E">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849" w:type="dxa"/>
            <w:tcBorders>
              <w:bottom w:val="single" w:color="auto" w:sz="12" w:space="0"/>
            </w:tcBorders>
            <w:vAlign w:val="center"/>
          </w:tcPr>
          <w:p w14:paraId="747D0CA1">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c>
          <w:tcPr>
            <w:tcW w:w="3808" w:type="dxa"/>
            <w:tcBorders>
              <w:bottom w:val="single" w:color="auto" w:sz="12" w:space="0"/>
              <w:right w:val="single" w:color="auto" w:sz="12" w:space="0"/>
            </w:tcBorders>
            <w:vAlign w:val="center"/>
          </w:tcPr>
          <w:p w14:paraId="5639F9F1">
            <w:pPr>
              <w:pStyle w:val="147"/>
              <w:keepNext w:val="0"/>
              <w:keepLines w:val="0"/>
              <w:suppressLineNumbers w:val="0"/>
              <w:adjustRightInd/>
              <w:spacing w:before="0" w:beforeAutospacing="0" w:after="0" w:afterAutospacing="0" w:line="240" w:lineRule="auto"/>
              <w:ind w:left="0" w:right="0"/>
              <w:rPr>
                <w:rFonts w:hint="default" w:cs="宋体" w:asciiTheme="minorEastAsia" w:hAnsiTheme="minorEastAsia" w:eastAsiaTheme="minorEastAsia"/>
                <w:color w:val="auto"/>
                <w:kern w:val="2"/>
                <w:szCs w:val="24"/>
              </w:rPr>
            </w:pPr>
          </w:p>
        </w:tc>
      </w:tr>
    </w:tbl>
    <w:p w14:paraId="30C89BB3">
      <w:pPr>
        <w:spacing w:line="360" w:lineRule="auto"/>
        <w:rPr>
          <w:rFonts w:cs="宋体" w:asciiTheme="minorEastAsia" w:hAnsiTheme="minorEastAsia" w:eastAsiaTheme="minorEastAsia"/>
          <w:color w:val="auto"/>
        </w:rPr>
      </w:pPr>
    </w:p>
    <w:p w14:paraId="70F653CB">
      <w:pPr>
        <w:spacing w:line="560" w:lineRule="exact"/>
        <w:ind w:firstLine="480" w:firstLineChars="200"/>
        <w:jc w:val="left"/>
        <w:textAlignment w:val="baseline"/>
        <w:rPr>
          <w:rFonts w:ascii="宋体" w:hAnsi="宋体"/>
          <w:color w:val="auto"/>
          <w:sz w:val="24"/>
        </w:rPr>
      </w:pPr>
    </w:p>
    <w:p w14:paraId="7AACD377">
      <w:pPr>
        <w:rPr>
          <w:color w:val="auto"/>
          <w:kern w:val="0"/>
        </w:rPr>
      </w:pPr>
      <w:r>
        <w:rPr>
          <w:color w:val="auto"/>
          <w:kern w:val="0"/>
        </w:rPr>
        <w:br w:type="page"/>
      </w:r>
    </w:p>
    <w:bookmarkEnd w:id="521"/>
    <w:bookmarkEnd w:id="522"/>
    <w:p w14:paraId="11E82B2E">
      <w:pPr>
        <w:pStyle w:val="2"/>
        <w:spacing w:line="360" w:lineRule="auto"/>
        <w:jc w:val="center"/>
        <w:rPr>
          <w:rFonts w:ascii="宋体" w:hAnsi="宋体"/>
          <w:b w:val="0"/>
          <w:color w:val="auto"/>
          <w:kern w:val="0"/>
        </w:rPr>
      </w:pPr>
      <w:bookmarkStart w:id="540" w:name="_Toc404174023"/>
      <w:bookmarkStart w:id="541" w:name="_Toc404159965"/>
      <w:r>
        <w:rPr>
          <w:rFonts w:hint="eastAsia" w:ascii="宋体" w:hAnsi="宋体"/>
          <w:b w:val="0"/>
          <w:color w:val="auto"/>
          <w:kern w:val="0"/>
        </w:rPr>
        <w:t>第七章 工程量清单</w:t>
      </w:r>
      <w:bookmarkEnd w:id="540"/>
      <w:bookmarkEnd w:id="541"/>
    </w:p>
    <w:p w14:paraId="25BDEF5D">
      <w:pPr>
        <w:spacing w:line="360" w:lineRule="auto"/>
        <w:jc w:val="center"/>
        <w:rPr>
          <w:rFonts w:ascii="宋体" w:hAnsi="宋体"/>
          <w:color w:val="auto"/>
        </w:rPr>
      </w:pPr>
      <w:r>
        <w:rPr>
          <w:rFonts w:hint="eastAsia" w:ascii="宋体" w:hAnsi="宋体"/>
          <w:color w:val="auto"/>
        </w:rPr>
        <w:t>（</w:t>
      </w:r>
      <w:r>
        <w:rPr>
          <w:rFonts w:hint="eastAsia" w:ascii="宋体" w:hAnsi="宋体"/>
          <w:color w:val="auto"/>
          <w:lang w:val="en-US" w:eastAsia="zh-CN"/>
        </w:rPr>
        <w:t>招标人官网自行</w:t>
      </w:r>
      <w:r>
        <w:rPr>
          <w:rFonts w:hint="eastAsia" w:ascii="宋体" w:hAnsi="宋体"/>
          <w:color w:val="auto"/>
        </w:rPr>
        <w:t>下载）</w:t>
      </w:r>
    </w:p>
    <w:sectPr>
      <w:footerReference r:id="rId5" w:type="default"/>
      <w:pgSz w:w="11907" w:h="16840"/>
      <w:pgMar w:top="1418" w:right="1361" w:bottom="1304" w:left="1361" w:header="0" w:footer="975"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Cambria">
    <w:panose1 w:val="02040503050406030204"/>
    <w:charset w:val="00"/>
    <w:family w:val="roman"/>
    <w:pitch w:val="default"/>
    <w:sig w:usb0="E00002FF" w:usb1="400004FF" w:usb2="00000000" w:usb3="00000000" w:csb0="2000019F" w:csb1="00000000"/>
  </w:font>
  <w:font w:name="Tahoma">
    <w:panose1 w:val="020B0604030504040204"/>
    <w:charset w:val="00"/>
    <w:family w:val="swiss"/>
    <w:pitch w:val="default"/>
    <w:sig w:usb0="E1002EFF" w:usb1="C000605B" w:usb2="00000029" w:usb3="00000000" w:csb0="200101FF" w:csb1="20280000"/>
  </w:font>
  <w:font w:name="Arial Unicode MS">
    <w:panose1 w:val="020B0604020202020204"/>
    <w:charset w:val="86"/>
    <w:family w:val="swiss"/>
    <w:pitch w:val="default"/>
    <w:sig w:usb0="FFFFFFFF" w:usb1="E9FFFFFF" w:usb2="0000003F" w:usb3="00000000" w:csb0="603F01FF" w:csb1="FFFF0000"/>
  </w:font>
  <w:font w:name="Verdana">
    <w:panose1 w:val="020B0604030504040204"/>
    <w:charset w:val="00"/>
    <w:family w:val="swiss"/>
    <w:pitch w:val="default"/>
    <w:sig w:usb0="A10006FF" w:usb1="4000205B" w:usb2="00000010" w:usb3="00000000" w:csb0="2000019F" w:csb1="00000000"/>
  </w:font>
  <w:font w:name="长城仿宋">
    <w:altName w:val="宋体"/>
    <w:panose1 w:val="00000000000000000000"/>
    <w:charset w:val="86"/>
    <w:family w:val="auto"/>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Calibri Light">
    <w:altName w:val="Calibri"/>
    <w:panose1 w:val="020F0302020204030204"/>
    <w:charset w:val="00"/>
    <w:family w:val="swiss"/>
    <w:pitch w:val="default"/>
    <w:sig w:usb0="00000000" w:usb1="00000000" w:usb2="00000009" w:usb3="00000000" w:csb0="200001FF" w:csb1="00000000"/>
  </w:font>
  <w:font w:name="华文中宋">
    <w:panose1 w:val="02010600040101010101"/>
    <w:charset w:val="86"/>
    <w:family w:val="auto"/>
    <w:pitch w:val="default"/>
    <w:sig w:usb0="00000287" w:usb1="080F0000" w:usb2="00000000" w:usb3="00000000" w:csb0="0004009F" w:csb1="DFD70000"/>
  </w:font>
  <w:font w:name="Arial Narrow">
    <w:panose1 w:val="020B0606020202030204"/>
    <w:charset w:val="00"/>
    <w:family w:val="swiss"/>
    <w:pitch w:val="default"/>
    <w:sig w:usb0="00000287" w:usb1="00000800" w:usb2="00000000" w:usb3="00000000" w:csb0="2000009F" w:csb1="DFD70000"/>
  </w:font>
  <w:font w:name="方正黑体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方正小标宋简体">
    <w:altName w:val="方正舒体"/>
    <w:panose1 w:val="00000000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仿宋_GBK">
    <w:altName w:val="微软雅黑"/>
    <w:panose1 w:val="00000000000000000000"/>
    <w:charset w:val="86"/>
    <w:family w:val="auto"/>
    <w:pitch w:val="default"/>
    <w:sig w:usb0="00000000" w:usb1="00000000" w:usb2="00082016" w:usb3="00000000" w:csb0="00040001"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06213325"/>
      <w:docPartObj>
        <w:docPartGallery w:val="autotext"/>
      </w:docPartObj>
    </w:sdtPr>
    <w:sdtContent>
      <w:p w14:paraId="0DAFE048">
        <w:pPr>
          <w:pStyle w:val="30"/>
          <w:jc w:val="center"/>
        </w:pPr>
        <w:r>
          <w:fldChar w:fldCharType="begin"/>
        </w:r>
        <w:r>
          <w:instrText xml:space="preserve">PAGE   \* MERGEFORMAT</w:instrText>
        </w:r>
        <w:r>
          <w:fldChar w:fldCharType="separate"/>
        </w:r>
        <w:r>
          <w:rPr>
            <w:lang w:val="zh-CN"/>
          </w:rPr>
          <w:t>17</w:t>
        </w:r>
        <w:r>
          <w:fldChar w:fldCharType="end"/>
        </w:r>
      </w:p>
    </w:sdtContent>
  </w:sdt>
  <w:p w14:paraId="0A8247A6">
    <w:pPr>
      <w:pStyle w:val="3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CAABE">
    <w:pPr>
      <w:pStyle w:val="30"/>
      <w:framePr w:wrap="around" w:vAnchor="text" w:hAnchor="margin" w:xAlign="center" w:y="1"/>
      <w:rPr>
        <w:rStyle w:val="51"/>
      </w:rPr>
    </w:pPr>
    <w:r>
      <w:fldChar w:fldCharType="begin"/>
    </w:r>
    <w:r>
      <w:rPr>
        <w:rStyle w:val="51"/>
      </w:rPr>
      <w:instrText xml:space="preserve">PAGE  </w:instrText>
    </w:r>
    <w:r>
      <w:fldChar w:fldCharType="end"/>
    </w:r>
  </w:p>
  <w:p w14:paraId="2070EA07">
    <w:pPr>
      <w:pStyle w:val="3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2D5A7">
    <w:pPr>
      <w:pStyle w:val="30"/>
      <w:tabs>
        <w:tab w:val="center" w:pos="4592"/>
        <w:tab w:val="clear" w:pos="4153"/>
        <w:tab w:val="clear" w:pos="8306"/>
      </w:tabs>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A893DD2">
                          <w:pPr>
                            <w:pStyle w:val="30"/>
                          </w:pPr>
                          <w:r>
                            <w:fldChar w:fldCharType="begin"/>
                          </w:r>
                          <w:r>
                            <w:instrText xml:space="preserve"> PAGE  \* MERGEFORMAT </w:instrText>
                          </w:r>
                          <w:r>
                            <w:fldChar w:fldCharType="separate"/>
                          </w:r>
                          <w:r>
                            <w:t>27</w:t>
                          </w:r>
                          <w: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2A893DD2">
                    <w:pPr>
                      <w:pStyle w:val="30"/>
                    </w:pPr>
                    <w:r>
                      <w:fldChar w:fldCharType="begin"/>
                    </w:r>
                    <w:r>
                      <w:instrText xml:space="preserve"> PAGE  \* MERGEFORMAT </w:instrText>
                    </w:r>
                    <w:r>
                      <w:fldChar w:fldCharType="separate"/>
                    </w:r>
                    <w:r>
                      <w:t>27</w:t>
                    </w:r>
                    <w:r>
                      <w:fldChar w:fldCharType="end"/>
                    </w:r>
                  </w:p>
                </w:txbxContent>
              </v:textbox>
            </v:shape>
          </w:pict>
        </mc:Fallback>
      </mc:AlternateContent>
    </w:r>
    <w: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multilevel"/>
    <w:tmpl w:val="00000005"/>
    <w:lvl w:ilvl="0" w:tentative="0">
      <w:start w:val="1"/>
      <w:numFmt w:val="decimal"/>
      <w:lvlText w:val="4.%1"/>
      <w:lvlJc w:val="left"/>
      <w:pPr>
        <w:tabs>
          <w:tab w:val="left" w:pos="720"/>
        </w:tabs>
        <w:ind w:left="720" w:hanging="360"/>
      </w:pPr>
    </w:lvl>
    <w:lvl w:ilvl="1" w:tentative="0">
      <w:start w:val="0"/>
      <w:numFmt w:val="decimal"/>
      <w:lvlText w:val=""/>
      <w:lvlJc w:val="left"/>
    </w:lvl>
    <w:lvl w:ilvl="2" w:tentative="0">
      <w:start w:val="0"/>
      <w:numFmt w:val="decimal"/>
      <w:lvlText w:val=""/>
      <w:lvlJc w:val="left"/>
    </w:lvl>
    <w:lvl w:ilvl="3" w:tentative="0">
      <w:start w:val="0"/>
      <w:numFmt w:val="decimal"/>
      <w:pStyle w:val="84"/>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
    <w:nsid w:val="6E53476C"/>
    <w:multiLevelType w:val="multilevel"/>
    <w:tmpl w:val="6E53476C"/>
    <w:lvl w:ilvl="0" w:tentative="0">
      <w:start w:val="1"/>
      <w:numFmt w:val="japaneseCounting"/>
      <w:pStyle w:val="148"/>
      <w:lvlText w:val="第%1章"/>
      <w:lvlJc w:val="left"/>
      <w:pPr>
        <w:tabs>
          <w:tab w:val="left" w:pos="1125"/>
        </w:tabs>
        <w:ind w:left="1125" w:hanging="1125"/>
      </w:pPr>
      <w:rPr>
        <w:rFonts w:hint="eastAsia"/>
      </w:rPr>
    </w:lvl>
    <w:lvl w:ilvl="1" w:tentative="0">
      <w:start w:val="1"/>
      <w:numFmt w:val="japaneseCounting"/>
      <w:pStyle w:val="44"/>
      <w:lvlText w:val="%2、"/>
      <w:lvlJc w:val="left"/>
      <w:pPr>
        <w:tabs>
          <w:tab w:val="left" w:pos="1140"/>
        </w:tabs>
        <w:ind w:left="1140" w:hanging="720"/>
      </w:pPr>
      <w:rPr>
        <w:rFonts w:ascii="楷体_GB2312" w:hAnsi="Times New Roman" w:eastAsia="楷体_GB2312" w:cs="Times New Roman"/>
        <w:b w:val="0"/>
      </w:rPr>
    </w:lvl>
    <w:lvl w:ilvl="2" w:tentative="0">
      <w:start w:val="1"/>
      <w:numFmt w:val="japaneseCounting"/>
      <w:lvlText w:val="(%3)"/>
      <w:lvlJc w:val="left"/>
      <w:pPr>
        <w:tabs>
          <w:tab w:val="left" w:pos="1590"/>
        </w:tabs>
        <w:ind w:left="1590" w:hanging="750"/>
      </w:pPr>
      <w:rPr>
        <w:rFonts w:hint="eastAsia"/>
        <w:b w:val="0"/>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1"/>
  <w:bordersDoNotSurroundFooter w:val="1"/>
  <w:hideSpellingErrors/>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NmNDk4ZTA0MTc5ZGM2MDExY2FjMDZmOThmOTg5N2EifQ=="/>
  </w:docVars>
  <w:rsids>
    <w:rsidRoot w:val="007E6C49"/>
    <w:rsid w:val="00000BBF"/>
    <w:rsid w:val="00001081"/>
    <w:rsid w:val="00001C3B"/>
    <w:rsid w:val="00002E72"/>
    <w:rsid w:val="00005D41"/>
    <w:rsid w:val="00010007"/>
    <w:rsid w:val="00011126"/>
    <w:rsid w:val="00011CE1"/>
    <w:rsid w:val="000166BB"/>
    <w:rsid w:val="00016DBA"/>
    <w:rsid w:val="0001720C"/>
    <w:rsid w:val="0002139C"/>
    <w:rsid w:val="00021A55"/>
    <w:rsid w:val="00023D53"/>
    <w:rsid w:val="00024E24"/>
    <w:rsid w:val="00027565"/>
    <w:rsid w:val="00027ED4"/>
    <w:rsid w:val="00031CD4"/>
    <w:rsid w:val="00033475"/>
    <w:rsid w:val="000337EA"/>
    <w:rsid w:val="0003471A"/>
    <w:rsid w:val="000370DB"/>
    <w:rsid w:val="00037F62"/>
    <w:rsid w:val="0004060B"/>
    <w:rsid w:val="00040C24"/>
    <w:rsid w:val="00041D86"/>
    <w:rsid w:val="000442F1"/>
    <w:rsid w:val="00045F13"/>
    <w:rsid w:val="00046A53"/>
    <w:rsid w:val="00047A9C"/>
    <w:rsid w:val="00050BA4"/>
    <w:rsid w:val="000530B2"/>
    <w:rsid w:val="0005462A"/>
    <w:rsid w:val="00055FAF"/>
    <w:rsid w:val="000628FD"/>
    <w:rsid w:val="000659AB"/>
    <w:rsid w:val="00065B31"/>
    <w:rsid w:val="0007097A"/>
    <w:rsid w:val="00070F36"/>
    <w:rsid w:val="0007104A"/>
    <w:rsid w:val="000714FD"/>
    <w:rsid w:val="00073EE6"/>
    <w:rsid w:val="00074CEB"/>
    <w:rsid w:val="000750EC"/>
    <w:rsid w:val="000778BA"/>
    <w:rsid w:val="000829A5"/>
    <w:rsid w:val="00082AE4"/>
    <w:rsid w:val="000838CE"/>
    <w:rsid w:val="00091C4D"/>
    <w:rsid w:val="00093258"/>
    <w:rsid w:val="00093F65"/>
    <w:rsid w:val="00095EA4"/>
    <w:rsid w:val="00097C08"/>
    <w:rsid w:val="00097FB5"/>
    <w:rsid w:val="000A00D2"/>
    <w:rsid w:val="000A03E1"/>
    <w:rsid w:val="000A2986"/>
    <w:rsid w:val="000A34D4"/>
    <w:rsid w:val="000A5373"/>
    <w:rsid w:val="000B0B05"/>
    <w:rsid w:val="000B15D6"/>
    <w:rsid w:val="000B1F40"/>
    <w:rsid w:val="000B3450"/>
    <w:rsid w:val="000B594A"/>
    <w:rsid w:val="000C2296"/>
    <w:rsid w:val="000C58C8"/>
    <w:rsid w:val="000C7351"/>
    <w:rsid w:val="000D14A0"/>
    <w:rsid w:val="000D152D"/>
    <w:rsid w:val="000D175B"/>
    <w:rsid w:val="000D590E"/>
    <w:rsid w:val="000D5D50"/>
    <w:rsid w:val="000D77ED"/>
    <w:rsid w:val="000E0200"/>
    <w:rsid w:val="000E3A63"/>
    <w:rsid w:val="000E44AA"/>
    <w:rsid w:val="000E7DC0"/>
    <w:rsid w:val="000F01D0"/>
    <w:rsid w:val="000F0B05"/>
    <w:rsid w:val="000F26EF"/>
    <w:rsid w:val="000F2882"/>
    <w:rsid w:val="000F51A5"/>
    <w:rsid w:val="000F66AA"/>
    <w:rsid w:val="000F785A"/>
    <w:rsid w:val="00100952"/>
    <w:rsid w:val="00101941"/>
    <w:rsid w:val="0010324D"/>
    <w:rsid w:val="001040AB"/>
    <w:rsid w:val="00104E9D"/>
    <w:rsid w:val="0011065E"/>
    <w:rsid w:val="00111203"/>
    <w:rsid w:val="00111BF3"/>
    <w:rsid w:val="00112A9E"/>
    <w:rsid w:val="00114385"/>
    <w:rsid w:val="001146AB"/>
    <w:rsid w:val="00114C1E"/>
    <w:rsid w:val="00114C55"/>
    <w:rsid w:val="0011719A"/>
    <w:rsid w:val="00117801"/>
    <w:rsid w:val="001218CE"/>
    <w:rsid w:val="00123919"/>
    <w:rsid w:val="00123DDA"/>
    <w:rsid w:val="00123EFA"/>
    <w:rsid w:val="00124149"/>
    <w:rsid w:val="001253ED"/>
    <w:rsid w:val="00126872"/>
    <w:rsid w:val="001371AD"/>
    <w:rsid w:val="00137A49"/>
    <w:rsid w:val="00144590"/>
    <w:rsid w:val="00145E2B"/>
    <w:rsid w:val="00154A14"/>
    <w:rsid w:val="00156CC8"/>
    <w:rsid w:val="00160262"/>
    <w:rsid w:val="0016032E"/>
    <w:rsid w:val="0016183F"/>
    <w:rsid w:val="00163E14"/>
    <w:rsid w:val="00164D8B"/>
    <w:rsid w:val="00165838"/>
    <w:rsid w:val="00166CF3"/>
    <w:rsid w:val="0017267B"/>
    <w:rsid w:val="00174B6E"/>
    <w:rsid w:val="0017659D"/>
    <w:rsid w:val="00176CEF"/>
    <w:rsid w:val="00177334"/>
    <w:rsid w:val="0017775D"/>
    <w:rsid w:val="00177B2F"/>
    <w:rsid w:val="00180A65"/>
    <w:rsid w:val="001825C1"/>
    <w:rsid w:val="00182D2F"/>
    <w:rsid w:val="001838DD"/>
    <w:rsid w:val="001862C2"/>
    <w:rsid w:val="0018633C"/>
    <w:rsid w:val="00191B5A"/>
    <w:rsid w:val="00194D22"/>
    <w:rsid w:val="0019710D"/>
    <w:rsid w:val="00197F7C"/>
    <w:rsid w:val="001A016A"/>
    <w:rsid w:val="001A131C"/>
    <w:rsid w:val="001A40BD"/>
    <w:rsid w:val="001B07F5"/>
    <w:rsid w:val="001B1BD5"/>
    <w:rsid w:val="001B2486"/>
    <w:rsid w:val="001C03D9"/>
    <w:rsid w:val="001C3521"/>
    <w:rsid w:val="001C45BE"/>
    <w:rsid w:val="001C4696"/>
    <w:rsid w:val="001C6071"/>
    <w:rsid w:val="001D2AFB"/>
    <w:rsid w:val="001D3E37"/>
    <w:rsid w:val="001D650C"/>
    <w:rsid w:val="001E18A4"/>
    <w:rsid w:val="001E1D43"/>
    <w:rsid w:val="001E430C"/>
    <w:rsid w:val="001E4351"/>
    <w:rsid w:val="001E519D"/>
    <w:rsid w:val="001E60BB"/>
    <w:rsid w:val="001F0074"/>
    <w:rsid w:val="001F34E2"/>
    <w:rsid w:val="001F3C1A"/>
    <w:rsid w:val="001F4309"/>
    <w:rsid w:val="001F63D1"/>
    <w:rsid w:val="002005BE"/>
    <w:rsid w:val="00200638"/>
    <w:rsid w:val="0020128E"/>
    <w:rsid w:val="00201C8A"/>
    <w:rsid w:val="00202501"/>
    <w:rsid w:val="0020448F"/>
    <w:rsid w:val="00206ACA"/>
    <w:rsid w:val="00206DBC"/>
    <w:rsid w:val="00213EEB"/>
    <w:rsid w:val="00214EB9"/>
    <w:rsid w:val="0021625E"/>
    <w:rsid w:val="00224093"/>
    <w:rsid w:val="0022413D"/>
    <w:rsid w:val="00225848"/>
    <w:rsid w:val="00225C52"/>
    <w:rsid w:val="00227342"/>
    <w:rsid w:val="00230540"/>
    <w:rsid w:val="00230835"/>
    <w:rsid w:val="002330C8"/>
    <w:rsid w:val="00234006"/>
    <w:rsid w:val="00235FB2"/>
    <w:rsid w:val="0023617C"/>
    <w:rsid w:val="0023686C"/>
    <w:rsid w:val="0023736E"/>
    <w:rsid w:val="0024201C"/>
    <w:rsid w:val="0024750C"/>
    <w:rsid w:val="00247CA1"/>
    <w:rsid w:val="00250291"/>
    <w:rsid w:val="00250BE6"/>
    <w:rsid w:val="00251295"/>
    <w:rsid w:val="002516AE"/>
    <w:rsid w:val="00252518"/>
    <w:rsid w:val="002528CE"/>
    <w:rsid w:val="002534B7"/>
    <w:rsid w:val="00254833"/>
    <w:rsid w:val="00254D44"/>
    <w:rsid w:val="00256447"/>
    <w:rsid w:val="00261792"/>
    <w:rsid w:val="00264B84"/>
    <w:rsid w:val="00265694"/>
    <w:rsid w:val="00265A58"/>
    <w:rsid w:val="00272905"/>
    <w:rsid w:val="00275413"/>
    <w:rsid w:val="002772C2"/>
    <w:rsid w:val="00280039"/>
    <w:rsid w:val="002801CD"/>
    <w:rsid w:val="00284A04"/>
    <w:rsid w:val="002863DE"/>
    <w:rsid w:val="002871BF"/>
    <w:rsid w:val="002914C4"/>
    <w:rsid w:val="002927CC"/>
    <w:rsid w:val="00293D61"/>
    <w:rsid w:val="00295DAD"/>
    <w:rsid w:val="00296C06"/>
    <w:rsid w:val="00297772"/>
    <w:rsid w:val="002A1C59"/>
    <w:rsid w:val="002A3E90"/>
    <w:rsid w:val="002A5A82"/>
    <w:rsid w:val="002A6580"/>
    <w:rsid w:val="002B3916"/>
    <w:rsid w:val="002B5A1D"/>
    <w:rsid w:val="002B7226"/>
    <w:rsid w:val="002C0E80"/>
    <w:rsid w:val="002C0ED7"/>
    <w:rsid w:val="002C1D09"/>
    <w:rsid w:val="002C44CF"/>
    <w:rsid w:val="002C4EA1"/>
    <w:rsid w:val="002C56EC"/>
    <w:rsid w:val="002C713F"/>
    <w:rsid w:val="002C7810"/>
    <w:rsid w:val="002D09C4"/>
    <w:rsid w:val="002D18BF"/>
    <w:rsid w:val="002D3D78"/>
    <w:rsid w:val="002D52E8"/>
    <w:rsid w:val="002D571B"/>
    <w:rsid w:val="002D79D9"/>
    <w:rsid w:val="002E04A9"/>
    <w:rsid w:val="002E127F"/>
    <w:rsid w:val="002E5823"/>
    <w:rsid w:val="002E7817"/>
    <w:rsid w:val="002F0C68"/>
    <w:rsid w:val="002F2208"/>
    <w:rsid w:val="002F2A85"/>
    <w:rsid w:val="002F6C74"/>
    <w:rsid w:val="003023F3"/>
    <w:rsid w:val="00302F27"/>
    <w:rsid w:val="00303908"/>
    <w:rsid w:val="003039DB"/>
    <w:rsid w:val="003059BD"/>
    <w:rsid w:val="00305AE4"/>
    <w:rsid w:val="00306E6E"/>
    <w:rsid w:val="00311C80"/>
    <w:rsid w:val="0031323F"/>
    <w:rsid w:val="00314CF8"/>
    <w:rsid w:val="00314DB2"/>
    <w:rsid w:val="003158CE"/>
    <w:rsid w:val="00315A3C"/>
    <w:rsid w:val="00315E71"/>
    <w:rsid w:val="00317FB9"/>
    <w:rsid w:val="003223BA"/>
    <w:rsid w:val="00323250"/>
    <w:rsid w:val="0032359B"/>
    <w:rsid w:val="00325325"/>
    <w:rsid w:val="003265E8"/>
    <w:rsid w:val="00326841"/>
    <w:rsid w:val="00326858"/>
    <w:rsid w:val="00327A65"/>
    <w:rsid w:val="00331007"/>
    <w:rsid w:val="0033236A"/>
    <w:rsid w:val="00332A5D"/>
    <w:rsid w:val="00332CEC"/>
    <w:rsid w:val="00336432"/>
    <w:rsid w:val="003365C3"/>
    <w:rsid w:val="00344208"/>
    <w:rsid w:val="0034759A"/>
    <w:rsid w:val="00350840"/>
    <w:rsid w:val="0035114D"/>
    <w:rsid w:val="003511BD"/>
    <w:rsid w:val="00351D2C"/>
    <w:rsid w:val="003534FD"/>
    <w:rsid w:val="00353542"/>
    <w:rsid w:val="003537FC"/>
    <w:rsid w:val="003541E0"/>
    <w:rsid w:val="003545C8"/>
    <w:rsid w:val="0035675F"/>
    <w:rsid w:val="00357AE5"/>
    <w:rsid w:val="00357E46"/>
    <w:rsid w:val="003601BD"/>
    <w:rsid w:val="0036103B"/>
    <w:rsid w:val="00361EBE"/>
    <w:rsid w:val="00361FB0"/>
    <w:rsid w:val="00365DCC"/>
    <w:rsid w:val="003702B0"/>
    <w:rsid w:val="00372B87"/>
    <w:rsid w:val="003735E4"/>
    <w:rsid w:val="00373DB4"/>
    <w:rsid w:val="003749DD"/>
    <w:rsid w:val="00376C17"/>
    <w:rsid w:val="00377E04"/>
    <w:rsid w:val="00380A4D"/>
    <w:rsid w:val="00381A2F"/>
    <w:rsid w:val="0038455D"/>
    <w:rsid w:val="003847F1"/>
    <w:rsid w:val="00387F56"/>
    <w:rsid w:val="0039248C"/>
    <w:rsid w:val="00394073"/>
    <w:rsid w:val="00395468"/>
    <w:rsid w:val="00395E31"/>
    <w:rsid w:val="0039679F"/>
    <w:rsid w:val="003A3076"/>
    <w:rsid w:val="003A35AC"/>
    <w:rsid w:val="003A4FBC"/>
    <w:rsid w:val="003A7E1B"/>
    <w:rsid w:val="003B028C"/>
    <w:rsid w:val="003B1AF9"/>
    <w:rsid w:val="003B1E84"/>
    <w:rsid w:val="003B25A1"/>
    <w:rsid w:val="003B30BF"/>
    <w:rsid w:val="003B5555"/>
    <w:rsid w:val="003C1D00"/>
    <w:rsid w:val="003C2578"/>
    <w:rsid w:val="003C58C8"/>
    <w:rsid w:val="003C5D7F"/>
    <w:rsid w:val="003C7739"/>
    <w:rsid w:val="003C7902"/>
    <w:rsid w:val="003D0247"/>
    <w:rsid w:val="003D0418"/>
    <w:rsid w:val="003D20B9"/>
    <w:rsid w:val="003D25E3"/>
    <w:rsid w:val="003D377B"/>
    <w:rsid w:val="003D4713"/>
    <w:rsid w:val="003D67A5"/>
    <w:rsid w:val="003E046D"/>
    <w:rsid w:val="003E0EFD"/>
    <w:rsid w:val="003E272E"/>
    <w:rsid w:val="003E3AE7"/>
    <w:rsid w:val="003E3C17"/>
    <w:rsid w:val="003E3DF8"/>
    <w:rsid w:val="003E586F"/>
    <w:rsid w:val="003E59C9"/>
    <w:rsid w:val="003F156D"/>
    <w:rsid w:val="003F3D57"/>
    <w:rsid w:val="003F573C"/>
    <w:rsid w:val="00400009"/>
    <w:rsid w:val="00400055"/>
    <w:rsid w:val="004004F9"/>
    <w:rsid w:val="00400D3E"/>
    <w:rsid w:val="00403130"/>
    <w:rsid w:val="00405F27"/>
    <w:rsid w:val="004063A5"/>
    <w:rsid w:val="0041357A"/>
    <w:rsid w:val="004201F7"/>
    <w:rsid w:val="004206B8"/>
    <w:rsid w:val="0042442A"/>
    <w:rsid w:val="00424F0B"/>
    <w:rsid w:val="004251D8"/>
    <w:rsid w:val="00425B40"/>
    <w:rsid w:val="00425D57"/>
    <w:rsid w:val="0042609A"/>
    <w:rsid w:val="004279A3"/>
    <w:rsid w:val="00430952"/>
    <w:rsid w:val="00437363"/>
    <w:rsid w:val="0044195F"/>
    <w:rsid w:val="0044664B"/>
    <w:rsid w:val="00447B8B"/>
    <w:rsid w:val="00447D3A"/>
    <w:rsid w:val="00451025"/>
    <w:rsid w:val="00452DCC"/>
    <w:rsid w:val="004551FF"/>
    <w:rsid w:val="00455A59"/>
    <w:rsid w:val="00455A8F"/>
    <w:rsid w:val="00455D52"/>
    <w:rsid w:val="004565CA"/>
    <w:rsid w:val="00461CD3"/>
    <w:rsid w:val="00465310"/>
    <w:rsid w:val="0046552E"/>
    <w:rsid w:val="00467131"/>
    <w:rsid w:val="00470BE5"/>
    <w:rsid w:val="00471F41"/>
    <w:rsid w:val="004825DE"/>
    <w:rsid w:val="00482685"/>
    <w:rsid w:val="00485A8C"/>
    <w:rsid w:val="00491956"/>
    <w:rsid w:val="0049256F"/>
    <w:rsid w:val="004A11F1"/>
    <w:rsid w:val="004A1EB0"/>
    <w:rsid w:val="004A2397"/>
    <w:rsid w:val="004A26FE"/>
    <w:rsid w:val="004A27F1"/>
    <w:rsid w:val="004A28BE"/>
    <w:rsid w:val="004A2DB8"/>
    <w:rsid w:val="004B02AE"/>
    <w:rsid w:val="004B27AD"/>
    <w:rsid w:val="004B6891"/>
    <w:rsid w:val="004C1CC3"/>
    <w:rsid w:val="004C56BF"/>
    <w:rsid w:val="004D0D1F"/>
    <w:rsid w:val="004D12C5"/>
    <w:rsid w:val="004D3EE1"/>
    <w:rsid w:val="004D7E71"/>
    <w:rsid w:val="004E13E6"/>
    <w:rsid w:val="004E518C"/>
    <w:rsid w:val="004E6970"/>
    <w:rsid w:val="004E6C32"/>
    <w:rsid w:val="004E7F97"/>
    <w:rsid w:val="004F0303"/>
    <w:rsid w:val="004F0E4B"/>
    <w:rsid w:val="004F15B9"/>
    <w:rsid w:val="004F24FB"/>
    <w:rsid w:val="004F4946"/>
    <w:rsid w:val="004F50E5"/>
    <w:rsid w:val="004F5E6B"/>
    <w:rsid w:val="0050012F"/>
    <w:rsid w:val="00501C1E"/>
    <w:rsid w:val="00502E1E"/>
    <w:rsid w:val="00502F03"/>
    <w:rsid w:val="005052D3"/>
    <w:rsid w:val="005111EB"/>
    <w:rsid w:val="00512B31"/>
    <w:rsid w:val="00513737"/>
    <w:rsid w:val="005141D1"/>
    <w:rsid w:val="005149A3"/>
    <w:rsid w:val="0051753C"/>
    <w:rsid w:val="00520A97"/>
    <w:rsid w:val="005217FE"/>
    <w:rsid w:val="00523754"/>
    <w:rsid w:val="005262A1"/>
    <w:rsid w:val="00530668"/>
    <w:rsid w:val="005320B9"/>
    <w:rsid w:val="005330B5"/>
    <w:rsid w:val="00534402"/>
    <w:rsid w:val="005352C3"/>
    <w:rsid w:val="00535DD9"/>
    <w:rsid w:val="005367B4"/>
    <w:rsid w:val="00537B45"/>
    <w:rsid w:val="005417E2"/>
    <w:rsid w:val="005418B5"/>
    <w:rsid w:val="0054707C"/>
    <w:rsid w:val="00547868"/>
    <w:rsid w:val="00550CEA"/>
    <w:rsid w:val="0055139D"/>
    <w:rsid w:val="005521DD"/>
    <w:rsid w:val="00552AA8"/>
    <w:rsid w:val="00554A66"/>
    <w:rsid w:val="00554D4E"/>
    <w:rsid w:val="00556CC5"/>
    <w:rsid w:val="00560042"/>
    <w:rsid w:val="00560219"/>
    <w:rsid w:val="0056067C"/>
    <w:rsid w:val="00562053"/>
    <w:rsid w:val="00563422"/>
    <w:rsid w:val="00563B56"/>
    <w:rsid w:val="00563E6D"/>
    <w:rsid w:val="00564749"/>
    <w:rsid w:val="00567733"/>
    <w:rsid w:val="00571A2F"/>
    <w:rsid w:val="00573861"/>
    <w:rsid w:val="0057451A"/>
    <w:rsid w:val="00580EED"/>
    <w:rsid w:val="00581843"/>
    <w:rsid w:val="005832C5"/>
    <w:rsid w:val="00584492"/>
    <w:rsid w:val="005871AA"/>
    <w:rsid w:val="00587DCC"/>
    <w:rsid w:val="00590845"/>
    <w:rsid w:val="00590F79"/>
    <w:rsid w:val="00591FDE"/>
    <w:rsid w:val="00595053"/>
    <w:rsid w:val="00595F7C"/>
    <w:rsid w:val="005964B0"/>
    <w:rsid w:val="00596656"/>
    <w:rsid w:val="005974A0"/>
    <w:rsid w:val="005A2705"/>
    <w:rsid w:val="005A2752"/>
    <w:rsid w:val="005A2CCB"/>
    <w:rsid w:val="005A61BE"/>
    <w:rsid w:val="005A7609"/>
    <w:rsid w:val="005B0E39"/>
    <w:rsid w:val="005B0EF0"/>
    <w:rsid w:val="005B1EFD"/>
    <w:rsid w:val="005B33D2"/>
    <w:rsid w:val="005B5BB1"/>
    <w:rsid w:val="005B6C26"/>
    <w:rsid w:val="005B6E2B"/>
    <w:rsid w:val="005B72A6"/>
    <w:rsid w:val="005C0074"/>
    <w:rsid w:val="005C22C3"/>
    <w:rsid w:val="005C471D"/>
    <w:rsid w:val="005C6F33"/>
    <w:rsid w:val="005C79A2"/>
    <w:rsid w:val="005D144A"/>
    <w:rsid w:val="005D1D1D"/>
    <w:rsid w:val="005D4C3C"/>
    <w:rsid w:val="005D6D9A"/>
    <w:rsid w:val="005E4DFF"/>
    <w:rsid w:val="005E50FC"/>
    <w:rsid w:val="005E543B"/>
    <w:rsid w:val="005E6BCB"/>
    <w:rsid w:val="005E6F81"/>
    <w:rsid w:val="005F1EF5"/>
    <w:rsid w:val="005F25FB"/>
    <w:rsid w:val="005F354A"/>
    <w:rsid w:val="005F6674"/>
    <w:rsid w:val="00600CF7"/>
    <w:rsid w:val="00600FD4"/>
    <w:rsid w:val="00600FD8"/>
    <w:rsid w:val="006024C6"/>
    <w:rsid w:val="00602880"/>
    <w:rsid w:val="0060387F"/>
    <w:rsid w:val="00605F01"/>
    <w:rsid w:val="006101F9"/>
    <w:rsid w:val="00610CBB"/>
    <w:rsid w:val="006124F3"/>
    <w:rsid w:val="006134C8"/>
    <w:rsid w:val="00614F5B"/>
    <w:rsid w:val="006151CA"/>
    <w:rsid w:val="006218BB"/>
    <w:rsid w:val="0062286F"/>
    <w:rsid w:val="00622DC2"/>
    <w:rsid w:val="00622DEC"/>
    <w:rsid w:val="00623827"/>
    <w:rsid w:val="00623A77"/>
    <w:rsid w:val="00623E9B"/>
    <w:rsid w:val="006245B0"/>
    <w:rsid w:val="006271B4"/>
    <w:rsid w:val="0063348D"/>
    <w:rsid w:val="006373A8"/>
    <w:rsid w:val="00640EDD"/>
    <w:rsid w:val="006468E4"/>
    <w:rsid w:val="00646E49"/>
    <w:rsid w:val="00647AC0"/>
    <w:rsid w:val="00660EAD"/>
    <w:rsid w:val="006627D6"/>
    <w:rsid w:val="0066422E"/>
    <w:rsid w:val="00664FF8"/>
    <w:rsid w:val="00666A34"/>
    <w:rsid w:val="00670C90"/>
    <w:rsid w:val="006773E2"/>
    <w:rsid w:val="00687D42"/>
    <w:rsid w:val="0069106A"/>
    <w:rsid w:val="0069285C"/>
    <w:rsid w:val="00693727"/>
    <w:rsid w:val="006949EC"/>
    <w:rsid w:val="006960D2"/>
    <w:rsid w:val="00697347"/>
    <w:rsid w:val="006A1369"/>
    <w:rsid w:val="006A4607"/>
    <w:rsid w:val="006A6F47"/>
    <w:rsid w:val="006A7F31"/>
    <w:rsid w:val="006B0B93"/>
    <w:rsid w:val="006B0E62"/>
    <w:rsid w:val="006B3D17"/>
    <w:rsid w:val="006B628B"/>
    <w:rsid w:val="006B69CF"/>
    <w:rsid w:val="006B6AE4"/>
    <w:rsid w:val="006B7459"/>
    <w:rsid w:val="006C1BCE"/>
    <w:rsid w:val="006C214C"/>
    <w:rsid w:val="006C3EB9"/>
    <w:rsid w:val="006C3FE3"/>
    <w:rsid w:val="006C5248"/>
    <w:rsid w:val="006C5E60"/>
    <w:rsid w:val="006C67E4"/>
    <w:rsid w:val="006C6AB6"/>
    <w:rsid w:val="006C72E1"/>
    <w:rsid w:val="006D184E"/>
    <w:rsid w:val="006D33E2"/>
    <w:rsid w:val="006D3AEA"/>
    <w:rsid w:val="006D4F97"/>
    <w:rsid w:val="006D5066"/>
    <w:rsid w:val="006D7FE2"/>
    <w:rsid w:val="006E0095"/>
    <w:rsid w:val="006E27C5"/>
    <w:rsid w:val="006E2C78"/>
    <w:rsid w:val="006E3354"/>
    <w:rsid w:val="006E3DE2"/>
    <w:rsid w:val="006E4305"/>
    <w:rsid w:val="006E61BA"/>
    <w:rsid w:val="006E7A10"/>
    <w:rsid w:val="006E7B46"/>
    <w:rsid w:val="006F0792"/>
    <w:rsid w:val="006F0A33"/>
    <w:rsid w:val="006F36EF"/>
    <w:rsid w:val="006F6953"/>
    <w:rsid w:val="006F6A2C"/>
    <w:rsid w:val="006F75E9"/>
    <w:rsid w:val="007003B6"/>
    <w:rsid w:val="007012B6"/>
    <w:rsid w:val="00702004"/>
    <w:rsid w:val="007021EB"/>
    <w:rsid w:val="00703259"/>
    <w:rsid w:val="00704219"/>
    <w:rsid w:val="007060CC"/>
    <w:rsid w:val="00706D4B"/>
    <w:rsid w:val="00707A35"/>
    <w:rsid w:val="00707B25"/>
    <w:rsid w:val="00710534"/>
    <w:rsid w:val="00710B68"/>
    <w:rsid w:val="00711463"/>
    <w:rsid w:val="00712E87"/>
    <w:rsid w:val="00717686"/>
    <w:rsid w:val="00722FDA"/>
    <w:rsid w:val="0072398D"/>
    <w:rsid w:val="0072678F"/>
    <w:rsid w:val="007301AD"/>
    <w:rsid w:val="0073449A"/>
    <w:rsid w:val="007352DC"/>
    <w:rsid w:val="00737F85"/>
    <w:rsid w:val="00742F30"/>
    <w:rsid w:val="0074398E"/>
    <w:rsid w:val="007443C6"/>
    <w:rsid w:val="00746452"/>
    <w:rsid w:val="00747E8C"/>
    <w:rsid w:val="00752069"/>
    <w:rsid w:val="00752B26"/>
    <w:rsid w:val="00755BF5"/>
    <w:rsid w:val="0075630B"/>
    <w:rsid w:val="007573A1"/>
    <w:rsid w:val="00762C96"/>
    <w:rsid w:val="0076310B"/>
    <w:rsid w:val="00764199"/>
    <w:rsid w:val="00764716"/>
    <w:rsid w:val="00765B1D"/>
    <w:rsid w:val="007707CE"/>
    <w:rsid w:val="00770B43"/>
    <w:rsid w:val="007724CD"/>
    <w:rsid w:val="00772866"/>
    <w:rsid w:val="00772EBA"/>
    <w:rsid w:val="00773EA1"/>
    <w:rsid w:val="00774C5C"/>
    <w:rsid w:val="00774DA0"/>
    <w:rsid w:val="0077645C"/>
    <w:rsid w:val="00780A42"/>
    <w:rsid w:val="00782695"/>
    <w:rsid w:val="007835AD"/>
    <w:rsid w:val="00785E1D"/>
    <w:rsid w:val="007911DD"/>
    <w:rsid w:val="007929BE"/>
    <w:rsid w:val="00796CF5"/>
    <w:rsid w:val="007A31B5"/>
    <w:rsid w:val="007A3424"/>
    <w:rsid w:val="007A37CF"/>
    <w:rsid w:val="007A3A40"/>
    <w:rsid w:val="007A3A41"/>
    <w:rsid w:val="007A5E94"/>
    <w:rsid w:val="007A6E24"/>
    <w:rsid w:val="007A7D5B"/>
    <w:rsid w:val="007B1EB6"/>
    <w:rsid w:val="007B3577"/>
    <w:rsid w:val="007B5305"/>
    <w:rsid w:val="007B57FD"/>
    <w:rsid w:val="007B7E28"/>
    <w:rsid w:val="007C0331"/>
    <w:rsid w:val="007C150D"/>
    <w:rsid w:val="007C4C44"/>
    <w:rsid w:val="007C559D"/>
    <w:rsid w:val="007C6647"/>
    <w:rsid w:val="007D264D"/>
    <w:rsid w:val="007D2988"/>
    <w:rsid w:val="007D7330"/>
    <w:rsid w:val="007E0783"/>
    <w:rsid w:val="007E3824"/>
    <w:rsid w:val="007E5A87"/>
    <w:rsid w:val="007E691A"/>
    <w:rsid w:val="007E6C49"/>
    <w:rsid w:val="007E7464"/>
    <w:rsid w:val="007F096D"/>
    <w:rsid w:val="007F4CED"/>
    <w:rsid w:val="007F68DF"/>
    <w:rsid w:val="007F6E3C"/>
    <w:rsid w:val="00800D1C"/>
    <w:rsid w:val="00801BC3"/>
    <w:rsid w:val="00802E54"/>
    <w:rsid w:val="008030BE"/>
    <w:rsid w:val="008030EC"/>
    <w:rsid w:val="008077D3"/>
    <w:rsid w:val="00807A3F"/>
    <w:rsid w:val="00810543"/>
    <w:rsid w:val="008106D7"/>
    <w:rsid w:val="00811A35"/>
    <w:rsid w:val="008138C2"/>
    <w:rsid w:val="00813D4E"/>
    <w:rsid w:val="00815D11"/>
    <w:rsid w:val="00817477"/>
    <w:rsid w:val="00817A5E"/>
    <w:rsid w:val="008212E8"/>
    <w:rsid w:val="00821E0D"/>
    <w:rsid w:val="00824069"/>
    <w:rsid w:val="0082546E"/>
    <w:rsid w:val="0082711A"/>
    <w:rsid w:val="008330BC"/>
    <w:rsid w:val="008334FA"/>
    <w:rsid w:val="00834151"/>
    <w:rsid w:val="00835B1D"/>
    <w:rsid w:val="0083794F"/>
    <w:rsid w:val="00837ACE"/>
    <w:rsid w:val="0084215C"/>
    <w:rsid w:val="00843619"/>
    <w:rsid w:val="00843BFF"/>
    <w:rsid w:val="00843D77"/>
    <w:rsid w:val="00844046"/>
    <w:rsid w:val="00845CA6"/>
    <w:rsid w:val="00846839"/>
    <w:rsid w:val="008476BE"/>
    <w:rsid w:val="00851B34"/>
    <w:rsid w:val="008538BF"/>
    <w:rsid w:val="00853FCB"/>
    <w:rsid w:val="008541AB"/>
    <w:rsid w:val="008601B7"/>
    <w:rsid w:val="00860BFC"/>
    <w:rsid w:val="00861838"/>
    <w:rsid w:val="00861BE5"/>
    <w:rsid w:val="00865B03"/>
    <w:rsid w:val="00865ECC"/>
    <w:rsid w:val="00867554"/>
    <w:rsid w:val="0086755D"/>
    <w:rsid w:val="00871543"/>
    <w:rsid w:val="0087198F"/>
    <w:rsid w:val="00872448"/>
    <w:rsid w:val="0088151C"/>
    <w:rsid w:val="008818D7"/>
    <w:rsid w:val="0089018B"/>
    <w:rsid w:val="00894B34"/>
    <w:rsid w:val="0089716B"/>
    <w:rsid w:val="008A20A8"/>
    <w:rsid w:val="008A30FB"/>
    <w:rsid w:val="008A4011"/>
    <w:rsid w:val="008A434F"/>
    <w:rsid w:val="008A764F"/>
    <w:rsid w:val="008B2FF0"/>
    <w:rsid w:val="008B43C6"/>
    <w:rsid w:val="008B4BB9"/>
    <w:rsid w:val="008B5390"/>
    <w:rsid w:val="008B6000"/>
    <w:rsid w:val="008B7717"/>
    <w:rsid w:val="008B7E2A"/>
    <w:rsid w:val="008C0714"/>
    <w:rsid w:val="008C1573"/>
    <w:rsid w:val="008C3A73"/>
    <w:rsid w:val="008C572E"/>
    <w:rsid w:val="008C5FB6"/>
    <w:rsid w:val="008C634E"/>
    <w:rsid w:val="008C76D3"/>
    <w:rsid w:val="008C77D0"/>
    <w:rsid w:val="008D01CC"/>
    <w:rsid w:val="008D03D4"/>
    <w:rsid w:val="008D103B"/>
    <w:rsid w:val="008D2402"/>
    <w:rsid w:val="008D4F0D"/>
    <w:rsid w:val="008D6592"/>
    <w:rsid w:val="008D7997"/>
    <w:rsid w:val="008E285C"/>
    <w:rsid w:val="008E3705"/>
    <w:rsid w:val="008E3CA1"/>
    <w:rsid w:val="008E424F"/>
    <w:rsid w:val="008E6404"/>
    <w:rsid w:val="008E64C9"/>
    <w:rsid w:val="008F13DE"/>
    <w:rsid w:val="008F3564"/>
    <w:rsid w:val="008F4DAF"/>
    <w:rsid w:val="008F6108"/>
    <w:rsid w:val="008F658F"/>
    <w:rsid w:val="00901F63"/>
    <w:rsid w:val="00902F45"/>
    <w:rsid w:val="009031B9"/>
    <w:rsid w:val="00905748"/>
    <w:rsid w:val="0090664F"/>
    <w:rsid w:val="00907EE5"/>
    <w:rsid w:val="0091022A"/>
    <w:rsid w:val="00911DB4"/>
    <w:rsid w:val="009149A8"/>
    <w:rsid w:val="00914C4E"/>
    <w:rsid w:val="00915497"/>
    <w:rsid w:val="00915E3C"/>
    <w:rsid w:val="0091697F"/>
    <w:rsid w:val="00916BA4"/>
    <w:rsid w:val="00922333"/>
    <w:rsid w:val="00925718"/>
    <w:rsid w:val="0092688F"/>
    <w:rsid w:val="00930914"/>
    <w:rsid w:val="00937564"/>
    <w:rsid w:val="0094017F"/>
    <w:rsid w:val="00944012"/>
    <w:rsid w:val="00947C6B"/>
    <w:rsid w:val="00951830"/>
    <w:rsid w:val="0095235C"/>
    <w:rsid w:val="00956EE7"/>
    <w:rsid w:val="0096268B"/>
    <w:rsid w:val="0096315C"/>
    <w:rsid w:val="0096387D"/>
    <w:rsid w:val="009643F7"/>
    <w:rsid w:val="00965D37"/>
    <w:rsid w:val="00966659"/>
    <w:rsid w:val="00971B6A"/>
    <w:rsid w:val="00972097"/>
    <w:rsid w:val="00973984"/>
    <w:rsid w:val="00975D66"/>
    <w:rsid w:val="00976E83"/>
    <w:rsid w:val="0097710E"/>
    <w:rsid w:val="0097738D"/>
    <w:rsid w:val="00980407"/>
    <w:rsid w:val="0098128A"/>
    <w:rsid w:val="0098219B"/>
    <w:rsid w:val="00982D37"/>
    <w:rsid w:val="00983054"/>
    <w:rsid w:val="00984593"/>
    <w:rsid w:val="00984DFF"/>
    <w:rsid w:val="00987413"/>
    <w:rsid w:val="009877CF"/>
    <w:rsid w:val="00987ED2"/>
    <w:rsid w:val="009904FC"/>
    <w:rsid w:val="0099132E"/>
    <w:rsid w:val="00991D8D"/>
    <w:rsid w:val="009B772C"/>
    <w:rsid w:val="009B79E3"/>
    <w:rsid w:val="009C0B4A"/>
    <w:rsid w:val="009C24B2"/>
    <w:rsid w:val="009C38CB"/>
    <w:rsid w:val="009C4058"/>
    <w:rsid w:val="009C42B1"/>
    <w:rsid w:val="009C44DE"/>
    <w:rsid w:val="009D15D9"/>
    <w:rsid w:val="009D2106"/>
    <w:rsid w:val="009D4E35"/>
    <w:rsid w:val="009D549E"/>
    <w:rsid w:val="009D7D34"/>
    <w:rsid w:val="009E320C"/>
    <w:rsid w:val="009E38DD"/>
    <w:rsid w:val="009E6AA5"/>
    <w:rsid w:val="009E7252"/>
    <w:rsid w:val="009E77AF"/>
    <w:rsid w:val="009E7FBC"/>
    <w:rsid w:val="009F0962"/>
    <w:rsid w:val="009F1E4F"/>
    <w:rsid w:val="009F209F"/>
    <w:rsid w:val="009F4D97"/>
    <w:rsid w:val="009F4E8B"/>
    <w:rsid w:val="009F63E0"/>
    <w:rsid w:val="00A01280"/>
    <w:rsid w:val="00A062FD"/>
    <w:rsid w:val="00A073D2"/>
    <w:rsid w:val="00A10E28"/>
    <w:rsid w:val="00A11C13"/>
    <w:rsid w:val="00A13F5D"/>
    <w:rsid w:val="00A16B40"/>
    <w:rsid w:val="00A1705E"/>
    <w:rsid w:val="00A17545"/>
    <w:rsid w:val="00A17949"/>
    <w:rsid w:val="00A208A7"/>
    <w:rsid w:val="00A20CAB"/>
    <w:rsid w:val="00A21816"/>
    <w:rsid w:val="00A22EEE"/>
    <w:rsid w:val="00A23945"/>
    <w:rsid w:val="00A26060"/>
    <w:rsid w:val="00A271A6"/>
    <w:rsid w:val="00A27494"/>
    <w:rsid w:val="00A33806"/>
    <w:rsid w:val="00A342A2"/>
    <w:rsid w:val="00A34949"/>
    <w:rsid w:val="00A362B6"/>
    <w:rsid w:val="00A40E0F"/>
    <w:rsid w:val="00A41C54"/>
    <w:rsid w:val="00A41DAD"/>
    <w:rsid w:val="00A42B99"/>
    <w:rsid w:val="00A43F4B"/>
    <w:rsid w:val="00A44534"/>
    <w:rsid w:val="00A44B4E"/>
    <w:rsid w:val="00A467E5"/>
    <w:rsid w:val="00A4734F"/>
    <w:rsid w:val="00A50D1E"/>
    <w:rsid w:val="00A54411"/>
    <w:rsid w:val="00A5456A"/>
    <w:rsid w:val="00A57A91"/>
    <w:rsid w:val="00A608C7"/>
    <w:rsid w:val="00A64906"/>
    <w:rsid w:val="00A658B8"/>
    <w:rsid w:val="00A72557"/>
    <w:rsid w:val="00A75C26"/>
    <w:rsid w:val="00A807FD"/>
    <w:rsid w:val="00A8110C"/>
    <w:rsid w:val="00A81AF3"/>
    <w:rsid w:val="00A82AFA"/>
    <w:rsid w:val="00A82E99"/>
    <w:rsid w:val="00A8387A"/>
    <w:rsid w:val="00A8415E"/>
    <w:rsid w:val="00A868E0"/>
    <w:rsid w:val="00A9134A"/>
    <w:rsid w:val="00A9297D"/>
    <w:rsid w:val="00A92C38"/>
    <w:rsid w:val="00A93003"/>
    <w:rsid w:val="00A934C4"/>
    <w:rsid w:val="00A93771"/>
    <w:rsid w:val="00A94AEE"/>
    <w:rsid w:val="00AA12E0"/>
    <w:rsid w:val="00AA1433"/>
    <w:rsid w:val="00AA6C32"/>
    <w:rsid w:val="00AB02E4"/>
    <w:rsid w:val="00AB0B49"/>
    <w:rsid w:val="00AB18E4"/>
    <w:rsid w:val="00AB6E6B"/>
    <w:rsid w:val="00AC0060"/>
    <w:rsid w:val="00AC0667"/>
    <w:rsid w:val="00AC1B42"/>
    <w:rsid w:val="00AC3902"/>
    <w:rsid w:val="00AC3CBC"/>
    <w:rsid w:val="00AD08C0"/>
    <w:rsid w:val="00AD14D1"/>
    <w:rsid w:val="00AD1A48"/>
    <w:rsid w:val="00AD2419"/>
    <w:rsid w:val="00AD3CC8"/>
    <w:rsid w:val="00AD445F"/>
    <w:rsid w:val="00AD5BEF"/>
    <w:rsid w:val="00AD653A"/>
    <w:rsid w:val="00AD6683"/>
    <w:rsid w:val="00AD6A28"/>
    <w:rsid w:val="00AE0549"/>
    <w:rsid w:val="00AE0B23"/>
    <w:rsid w:val="00AE21C2"/>
    <w:rsid w:val="00AE354B"/>
    <w:rsid w:val="00AE4179"/>
    <w:rsid w:val="00AE5249"/>
    <w:rsid w:val="00AE5E64"/>
    <w:rsid w:val="00AE6DF5"/>
    <w:rsid w:val="00AF0D50"/>
    <w:rsid w:val="00AF19D4"/>
    <w:rsid w:val="00AF2165"/>
    <w:rsid w:val="00AF2658"/>
    <w:rsid w:val="00AF45D7"/>
    <w:rsid w:val="00AF496B"/>
    <w:rsid w:val="00AF5BEF"/>
    <w:rsid w:val="00AF5DAA"/>
    <w:rsid w:val="00AF63A7"/>
    <w:rsid w:val="00AF63CA"/>
    <w:rsid w:val="00B00CE8"/>
    <w:rsid w:val="00B0266E"/>
    <w:rsid w:val="00B03ED2"/>
    <w:rsid w:val="00B10020"/>
    <w:rsid w:val="00B100C6"/>
    <w:rsid w:val="00B1061D"/>
    <w:rsid w:val="00B10B39"/>
    <w:rsid w:val="00B130E5"/>
    <w:rsid w:val="00B1398A"/>
    <w:rsid w:val="00B1495A"/>
    <w:rsid w:val="00B15256"/>
    <w:rsid w:val="00B164EF"/>
    <w:rsid w:val="00B17079"/>
    <w:rsid w:val="00B208E0"/>
    <w:rsid w:val="00B20A32"/>
    <w:rsid w:val="00B21732"/>
    <w:rsid w:val="00B22A9A"/>
    <w:rsid w:val="00B27161"/>
    <w:rsid w:val="00B31624"/>
    <w:rsid w:val="00B34F40"/>
    <w:rsid w:val="00B35DF0"/>
    <w:rsid w:val="00B3656F"/>
    <w:rsid w:val="00B3744B"/>
    <w:rsid w:val="00B37627"/>
    <w:rsid w:val="00B420E9"/>
    <w:rsid w:val="00B423DB"/>
    <w:rsid w:val="00B4247C"/>
    <w:rsid w:val="00B44626"/>
    <w:rsid w:val="00B45BCC"/>
    <w:rsid w:val="00B4770D"/>
    <w:rsid w:val="00B503F4"/>
    <w:rsid w:val="00B50A3A"/>
    <w:rsid w:val="00B5110A"/>
    <w:rsid w:val="00B52F06"/>
    <w:rsid w:val="00B53CD0"/>
    <w:rsid w:val="00B56160"/>
    <w:rsid w:val="00B57A9B"/>
    <w:rsid w:val="00B6275A"/>
    <w:rsid w:val="00B638DF"/>
    <w:rsid w:val="00B64224"/>
    <w:rsid w:val="00B65B17"/>
    <w:rsid w:val="00B673F3"/>
    <w:rsid w:val="00B67E4F"/>
    <w:rsid w:val="00B70D7A"/>
    <w:rsid w:val="00B714E9"/>
    <w:rsid w:val="00B71937"/>
    <w:rsid w:val="00B71D6D"/>
    <w:rsid w:val="00B73CF8"/>
    <w:rsid w:val="00B766F8"/>
    <w:rsid w:val="00B819FD"/>
    <w:rsid w:val="00B822FE"/>
    <w:rsid w:val="00B83ADA"/>
    <w:rsid w:val="00B841F3"/>
    <w:rsid w:val="00B85C06"/>
    <w:rsid w:val="00B86148"/>
    <w:rsid w:val="00B87240"/>
    <w:rsid w:val="00B8770C"/>
    <w:rsid w:val="00B90330"/>
    <w:rsid w:val="00B91969"/>
    <w:rsid w:val="00B93AE9"/>
    <w:rsid w:val="00B946FD"/>
    <w:rsid w:val="00B9650A"/>
    <w:rsid w:val="00BA16C6"/>
    <w:rsid w:val="00BA1770"/>
    <w:rsid w:val="00BA1EA0"/>
    <w:rsid w:val="00BA2A96"/>
    <w:rsid w:val="00BA2ECC"/>
    <w:rsid w:val="00BA3556"/>
    <w:rsid w:val="00BA46EA"/>
    <w:rsid w:val="00BA57BE"/>
    <w:rsid w:val="00BA6B46"/>
    <w:rsid w:val="00BB5C4F"/>
    <w:rsid w:val="00BB6207"/>
    <w:rsid w:val="00BC1CB4"/>
    <w:rsid w:val="00BC29A3"/>
    <w:rsid w:val="00BC33A5"/>
    <w:rsid w:val="00BC4B72"/>
    <w:rsid w:val="00BC5CCB"/>
    <w:rsid w:val="00BC7157"/>
    <w:rsid w:val="00BD4A71"/>
    <w:rsid w:val="00BD55DC"/>
    <w:rsid w:val="00BD5618"/>
    <w:rsid w:val="00BE247A"/>
    <w:rsid w:val="00BE2504"/>
    <w:rsid w:val="00BE2F82"/>
    <w:rsid w:val="00BE3341"/>
    <w:rsid w:val="00BE73AB"/>
    <w:rsid w:val="00BF01C0"/>
    <w:rsid w:val="00BF1180"/>
    <w:rsid w:val="00BF13C3"/>
    <w:rsid w:val="00BF4CE2"/>
    <w:rsid w:val="00BF5CF1"/>
    <w:rsid w:val="00C0077E"/>
    <w:rsid w:val="00C01166"/>
    <w:rsid w:val="00C01BC4"/>
    <w:rsid w:val="00C023ED"/>
    <w:rsid w:val="00C02C8A"/>
    <w:rsid w:val="00C046E2"/>
    <w:rsid w:val="00C05226"/>
    <w:rsid w:val="00C07BBF"/>
    <w:rsid w:val="00C105FC"/>
    <w:rsid w:val="00C12BAB"/>
    <w:rsid w:val="00C13296"/>
    <w:rsid w:val="00C14C5B"/>
    <w:rsid w:val="00C1650F"/>
    <w:rsid w:val="00C169B9"/>
    <w:rsid w:val="00C20279"/>
    <w:rsid w:val="00C20371"/>
    <w:rsid w:val="00C26A9E"/>
    <w:rsid w:val="00C27054"/>
    <w:rsid w:val="00C30AFE"/>
    <w:rsid w:val="00C31FB8"/>
    <w:rsid w:val="00C324D0"/>
    <w:rsid w:val="00C345E7"/>
    <w:rsid w:val="00C34CC3"/>
    <w:rsid w:val="00C36E3C"/>
    <w:rsid w:val="00C43274"/>
    <w:rsid w:val="00C459CE"/>
    <w:rsid w:val="00C4653C"/>
    <w:rsid w:val="00C47AC1"/>
    <w:rsid w:val="00C50B78"/>
    <w:rsid w:val="00C51E99"/>
    <w:rsid w:val="00C525CC"/>
    <w:rsid w:val="00C52672"/>
    <w:rsid w:val="00C535EF"/>
    <w:rsid w:val="00C55A3A"/>
    <w:rsid w:val="00C60594"/>
    <w:rsid w:val="00C65A8D"/>
    <w:rsid w:val="00C65C67"/>
    <w:rsid w:val="00C66A16"/>
    <w:rsid w:val="00C73C5A"/>
    <w:rsid w:val="00C75760"/>
    <w:rsid w:val="00C76DCE"/>
    <w:rsid w:val="00C77DF7"/>
    <w:rsid w:val="00C87C76"/>
    <w:rsid w:val="00C87D68"/>
    <w:rsid w:val="00C9608A"/>
    <w:rsid w:val="00C96D40"/>
    <w:rsid w:val="00CA3EBD"/>
    <w:rsid w:val="00CA5885"/>
    <w:rsid w:val="00CB1BF4"/>
    <w:rsid w:val="00CB220D"/>
    <w:rsid w:val="00CB2FC6"/>
    <w:rsid w:val="00CB4E63"/>
    <w:rsid w:val="00CC128E"/>
    <w:rsid w:val="00CC1C7F"/>
    <w:rsid w:val="00CC2733"/>
    <w:rsid w:val="00CC387B"/>
    <w:rsid w:val="00CC74FF"/>
    <w:rsid w:val="00CD11B8"/>
    <w:rsid w:val="00CD4A84"/>
    <w:rsid w:val="00CD4B8E"/>
    <w:rsid w:val="00CD68A2"/>
    <w:rsid w:val="00CD6D9E"/>
    <w:rsid w:val="00CE077D"/>
    <w:rsid w:val="00CE4BFB"/>
    <w:rsid w:val="00CE504E"/>
    <w:rsid w:val="00CE5EF6"/>
    <w:rsid w:val="00CF0417"/>
    <w:rsid w:val="00CF170E"/>
    <w:rsid w:val="00CF1BE0"/>
    <w:rsid w:val="00D0043F"/>
    <w:rsid w:val="00D01BE2"/>
    <w:rsid w:val="00D036BF"/>
    <w:rsid w:val="00D04305"/>
    <w:rsid w:val="00D05A98"/>
    <w:rsid w:val="00D072BB"/>
    <w:rsid w:val="00D115A0"/>
    <w:rsid w:val="00D129E6"/>
    <w:rsid w:val="00D12A6F"/>
    <w:rsid w:val="00D158D9"/>
    <w:rsid w:val="00D15A1E"/>
    <w:rsid w:val="00D166F8"/>
    <w:rsid w:val="00D16E73"/>
    <w:rsid w:val="00D1729F"/>
    <w:rsid w:val="00D17E64"/>
    <w:rsid w:val="00D21717"/>
    <w:rsid w:val="00D23CF8"/>
    <w:rsid w:val="00D24740"/>
    <w:rsid w:val="00D24FD9"/>
    <w:rsid w:val="00D2567D"/>
    <w:rsid w:val="00D271F6"/>
    <w:rsid w:val="00D30C23"/>
    <w:rsid w:val="00D30CDE"/>
    <w:rsid w:val="00D32A3B"/>
    <w:rsid w:val="00D32DC2"/>
    <w:rsid w:val="00D3330D"/>
    <w:rsid w:val="00D33E36"/>
    <w:rsid w:val="00D34265"/>
    <w:rsid w:val="00D35C57"/>
    <w:rsid w:val="00D3619A"/>
    <w:rsid w:val="00D42F76"/>
    <w:rsid w:val="00D44297"/>
    <w:rsid w:val="00D450B3"/>
    <w:rsid w:val="00D51D4B"/>
    <w:rsid w:val="00D5319D"/>
    <w:rsid w:val="00D575BD"/>
    <w:rsid w:val="00D63E3C"/>
    <w:rsid w:val="00D66C7D"/>
    <w:rsid w:val="00D67D62"/>
    <w:rsid w:val="00D70EC9"/>
    <w:rsid w:val="00D71683"/>
    <w:rsid w:val="00D71D73"/>
    <w:rsid w:val="00D72B6F"/>
    <w:rsid w:val="00D76F2B"/>
    <w:rsid w:val="00D77BB4"/>
    <w:rsid w:val="00D816CD"/>
    <w:rsid w:val="00D81B32"/>
    <w:rsid w:val="00D83179"/>
    <w:rsid w:val="00D85B50"/>
    <w:rsid w:val="00D86515"/>
    <w:rsid w:val="00D90835"/>
    <w:rsid w:val="00D910EE"/>
    <w:rsid w:val="00D91A4F"/>
    <w:rsid w:val="00D91E7B"/>
    <w:rsid w:val="00D92D89"/>
    <w:rsid w:val="00D92F21"/>
    <w:rsid w:val="00D9311F"/>
    <w:rsid w:val="00DA0A3E"/>
    <w:rsid w:val="00DA1D48"/>
    <w:rsid w:val="00DA2F12"/>
    <w:rsid w:val="00DA2FA9"/>
    <w:rsid w:val="00DA38D2"/>
    <w:rsid w:val="00DA3A57"/>
    <w:rsid w:val="00DA4C73"/>
    <w:rsid w:val="00DA5BF0"/>
    <w:rsid w:val="00DB1169"/>
    <w:rsid w:val="00DB2D53"/>
    <w:rsid w:val="00DB4275"/>
    <w:rsid w:val="00DB63DE"/>
    <w:rsid w:val="00DB67B8"/>
    <w:rsid w:val="00DB7E0C"/>
    <w:rsid w:val="00DC1912"/>
    <w:rsid w:val="00DC1D41"/>
    <w:rsid w:val="00DC1F6C"/>
    <w:rsid w:val="00DC2479"/>
    <w:rsid w:val="00DC43E0"/>
    <w:rsid w:val="00DC58EB"/>
    <w:rsid w:val="00DC5942"/>
    <w:rsid w:val="00DC5FAB"/>
    <w:rsid w:val="00DD1643"/>
    <w:rsid w:val="00DD1879"/>
    <w:rsid w:val="00DD250B"/>
    <w:rsid w:val="00DD258A"/>
    <w:rsid w:val="00DD282B"/>
    <w:rsid w:val="00DD3294"/>
    <w:rsid w:val="00DD499F"/>
    <w:rsid w:val="00DE0FA4"/>
    <w:rsid w:val="00DE2079"/>
    <w:rsid w:val="00DE2B2F"/>
    <w:rsid w:val="00DE3802"/>
    <w:rsid w:val="00DE4AE6"/>
    <w:rsid w:val="00DE54D9"/>
    <w:rsid w:val="00DE5828"/>
    <w:rsid w:val="00DE7984"/>
    <w:rsid w:val="00DE7A65"/>
    <w:rsid w:val="00DF0351"/>
    <w:rsid w:val="00DF0BAD"/>
    <w:rsid w:val="00DF0E5A"/>
    <w:rsid w:val="00DF34E9"/>
    <w:rsid w:val="00DF4DC2"/>
    <w:rsid w:val="00DF5D4B"/>
    <w:rsid w:val="00DF6DB1"/>
    <w:rsid w:val="00DF77AB"/>
    <w:rsid w:val="00E014B4"/>
    <w:rsid w:val="00E02497"/>
    <w:rsid w:val="00E0266C"/>
    <w:rsid w:val="00E03EF6"/>
    <w:rsid w:val="00E0516C"/>
    <w:rsid w:val="00E061B7"/>
    <w:rsid w:val="00E06E2C"/>
    <w:rsid w:val="00E10AE5"/>
    <w:rsid w:val="00E1275D"/>
    <w:rsid w:val="00E13398"/>
    <w:rsid w:val="00E1572D"/>
    <w:rsid w:val="00E16F9F"/>
    <w:rsid w:val="00E2391B"/>
    <w:rsid w:val="00E2454E"/>
    <w:rsid w:val="00E26A2D"/>
    <w:rsid w:val="00E30101"/>
    <w:rsid w:val="00E30C6F"/>
    <w:rsid w:val="00E30E6F"/>
    <w:rsid w:val="00E33184"/>
    <w:rsid w:val="00E33828"/>
    <w:rsid w:val="00E42A20"/>
    <w:rsid w:val="00E52684"/>
    <w:rsid w:val="00E53E88"/>
    <w:rsid w:val="00E5545F"/>
    <w:rsid w:val="00E5547F"/>
    <w:rsid w:val="00E55646"/>
    <w:rsid w:val="00E55E15"/>
    <w:rsid w:val="00E630E0"/>
    <w:rsid w:val="00E63EBC"/>
    <w:rsid w:val="00E70DA3"/>
    <w:rsid w:val="00E74833"/>
    <w:rsid w:val="00E761E8"/>
    <w:rsid w:val="00E800C6"/>
    <w:rsid w:val="00E83722"/>
    <w:rsid w:val="00E85091"/>
    <w:rsid w:val="00E85239"/>
    <w:rsid w:val="00E87FF3"/>
    <w:rsid w:val="00E9172C"/>
    <w:rsid w:val="00E930BB"/>
    <w:rsid w:val="00E95107"/>
    <w:rsid w:val="00E9561B"/>
    <w:rsid w:val="00EA190B"/>
    <w:rsid w:val="00EA52F4"/>
    <w:rsid w:val="00EA5B9E"/>
    <w:rsid w:val="00EB49DD"/>
    <w:rsid w:val="00EB4D54"/>
    <w:rsid w:val="00EB4F18"/>
    <w:rsid w:val="00EB77DA"/>
    <w:rsid w:val="00EB79BB"/>
    <w:rsid w:val="00EC0447"/>
    <w:rsid w:val="00EC0AD3"/>
    <w:rsid w:val="00EC3CED"/>
    <w:rsid w:val="00EC5368"/>
    <w:rsid w:val="00EC665B"/>
    <w:rsid w:val="00ED023B"/>
    <w:rsid w:val="00ED2949"/>
    <w:rsid w:val="00ED2A94"/>
    <w:rsid w:val="00ED3551"/>
    <w:rsid w:val="00ED3931"/>
    <w:rsid w:val="00ED3C5D"/>
    <w:rsid w:val="00ED649D"/>
    <w:rsid w:val="00ED6DE5"/>
    <w:rsid w:val="00ED7AD2"/>
    <w:rsid w:val="00EE029F"/>
    <w:rsid w:val="00EE1F04"/>
    <w:rsid w:val="00EE461F"/>
    <w:rsid w:val="00EE5C7B"/>
    <w:rsid w:val="00EE6493"/>
    <w:rsid w:val="00EE7574"/>
    <w:rsid w:val="00EE7A22"/>
    <w:rsid w:val="00EF1407"/>
    <w:rsid w:val="00EF3296"/>
    <w:rsid w:val="00EF3B5C"/>
    <w:rsid w:val="00EF4C5F"/>
    <w:rsid w:val="00EF7FED"/>
    <w:rsid w:val="00F01D19"/>
    <w:rsid w:val="00F028C2"/>
    <w:rsid w:val="00F03728"/>
    <w:rsid w:val="00F03C13"/>
    <w:rsid w:val="00F05018"/>
    <w:rsid w:val="00F06591"/>
    <w:rsid w:val="00F070CA"/>
    <w:rsid w:val="00F076FF"/>
    <w:rsid w:val="00F11689"/>
    <w:rsid w:val="00F12746"/>
    <w:rsid w:val="00F128D0"/>
    <w:rsid w:val="00F13D77"/>
    <w:rsid w:val="00F14204"/>
    <w:rsid w:val="00F14E14"/>
    <w:rsid w:val="00F16326"/>
    <w:rsid w:val="00F1749E"/>
    <w:rsid w:val="00F20E61"/>
    <w:rsid w:val="00F2103A"/>
    <w:rsid w:val="00F222FF"/>
    <w:rsid w:val="00F257EE"/>
    <w:rsid w:val="00F26113"/>
    <w:rsid w:val="00F30BB6"/>
    <w:rsid w:val="00F31545"/>
    <w:rsid w:val="00F333F5"/>
    <w:rsid w:val="00F33EBE"/>
    <w:rsid w:val="00F34A36"/>
    <w:rsid w:val="00F35880"/>
    <w:rsid w:val="00F40EFD"/>
    <w:rsid w:val="00F40FA0"/>
    <w:rsid w:val="00F4435B"/>
    <w:rsid w:val="00F45041"/>
    <w:rsid w:val="00F4546A"/>
    <w:rsid w:val="00F505EA"/>
    <w:rsid w:val="00F51E12"/>
    <w:rsid w:val="00F53923"/>
    <w:rsid w:val="00F53AA2"/>
    <w:rsid w:val="00F54081"/>
    <w:rsid w:val="00F5595F"/>
    <w:rsid w:val="00F56CE7"/>
    <w:rsid w:val="00F62A7B"/>
    <w:rsid w:val="00F63F78"/>
    <w:rsid w:val="00F71C3E"/>
    <w:rsid w:val="00F73092"/>
    <w:rsid w:val="00F73237"/>
    <w:rsid w:val="00F737F5"/>
    <w:rsid w:val="00F81662"/>
    <w:rsid w:val="00F82E43"/>
    <w:rsid w:val="00F82EE8"/>
    <w:rsid w:val="00F83498"/>
    <w:rsid w:val="00F836F9"/>
    <w:rsid w:val="00F84D6A"/>
    <w:rsid w:val="00F87844"/>
    <w:rsid w:val="00F91327"/>
    <w:rsid w:val="00F9152C"/>
    <w:rsid w:val="00F91878"/>
    <w:rsid w:val="00F91E8F"/>
    <w:rsid w:val="00F928B4"/>
    <w:rsid w:val="00F92937"/>
    <w:rsid w:val="00F93C4F"/>
    <w:rsid w:val="00F941F0"/>
    <w:rsid w:val="00F9535F"/>
    <w:rsid w:val="00FA1251"/>
    <w:rsid w:val="00FA2FED"/>
    <w:rsid w:val="00FA3788"/>
    <w:rsid w:val="00FA58E0"/>
    <w:rsid w:val="00FA7305"/>
    <w:rsid w:val="00FB154D"/>
    <w:rsid w:val="00FB24FE"/>
    <w:rsid w:val="00FB4C41"/>
    <w:rsid w:val="00FB4E02"/>
    <w:rsid w:val="00FB5262"/>
    <w:rsid w:val="00FC0C83"/>
    <w:rsid w:val="00FC79DE"/>
    <w:rsid w:val="00FD09E6"/>
    <w:rsid w:val="00FD0CBB"/>
    <w:rsid w:val="00FD1E6E"/>
    <w:rsid w:val="00FD3C95"/>
    <w:rsid w:val="00FD462C"/>
    <w:rsid w:val="00FD4DC0"/>
    <w:rsid w:val="00FD66E8"/>
    <w:rsid w:val="00FD7263"/>
    <w:rsid w:val="00FD794F"/>
    <w:rsid w:val="00FD7D23"/>
    <w:rsid w:val="00FE27CF"/>
    <w:rsid w:val="00FF0EC8"/>
    <w:rsid w:val="00FF1D72"/>
    <w:rsid w:val="00FF2753"/>
    <w:rsid w:val="00FF2F21"/>
    <w:rsid w:val="00FF4826"/>
    <w:rsid w:val="00FF4B68"/>
    <w:rsid w:val="00FF5478"/>
    <w:rsid w:val="00FF5723"/>
    <w:rsid w:val="010964F6"/>
    <w:rsid w:val="01381822"/>
    <w:rsid w:val="015715F1"/>
    <w:rsid w:val="018432CB"/>
    <w:rsid w:val="01D04023"/>
    <w:rsid w:val="02016BF7"/>
    <w:rsid w:val="02054CC3"/>
    <w:rsid w:val="020A0DC9"/>
    <w:rsid w:val="021C661E"/>
    <w:rsid w:val="02416B02"/>
    <w:rsid w:val="02E5138A"/>
    <w:rsid w:val="02EF4C85"/>
    <w:rsid w:val="02F55816"/>
    <w:rsid w:val="02F753D2"/>
    <w:rsid w:val="02FF1CB8"/>
    <w:rsid w:val="02FF597E"/>
    <w:rsid w:val="031A403C"/>
    <w:rsid w:val="03745886"/>
    <w:rsid w:val="03CD55DE"/>
    <w:rsid w:val="03F160CD"/>
    <w:rsid w:val="043833E3"/>
    <w:rsid w:val="04411B26"/>
    <w:rsid w:val="047C633B"/>
    <w:rsid w:val="04BF3A67"/>
    <w:rsid w:val="05073FF3"/>
    <w:rsid w:val="053D20AC"/>
    <w:rsid w:val="05584D1C"/>
    <w:rsid w:val="057D03BC"/>
    <w:rsid w:val="057E0358"/>
    <w:rsid w:val="058766F9"/>
    <w:rsid w:val="05A001B0"/>
    <w:rsid w:val="05B63D37"/>
    <w:rsid w:val="05D8657C"/>
    <w:rsid w:val="05E945B2"/>
    <w:rsid w:val="05F47BD6"/>
    <w:rsid w:val="0607611D"/>
    <w:rsid w:val="06253363"/>
    <w:rsid w:val="068439EE"/>
    <w:rsid w:val="06A43925"/>
    <w:rsid w:val="06C66837"/>
    <w:rsid w:val="06FC31DE"/>
    <w:rsid w:val="0727209B"/>
    <w:rsid w:val="075F3F2C"/>
    <w:rsid w:val="07665EFB"/>
    <w:rsid w:val="0777576D"/>
    <w:rsid w:val="077F5B47"/>
    <w:rsid w:val="07BD44E8"/>
    <w:rsid w:val="07BE300B"/>
    <w:rsid w:val="07F731CC"/>
    <w:rsid w:val="0845269E"/>
    <w:rsid w:val="084968D3"/>
    <w:rsid w:val="084F27DC"/>
    <w:rsid w:val="087079B5"/>
    <w:rsid w:val="088716A6"/>
    <w:rsid w:val="08873FD0"/>
    <w:rsid w:val="08AA5003"/>
    <w:rsid w:val="08B26CEE"/>
    <w:rsid w:val="08BC59F8"/>
    <w:rsid w:val="08DE5BAD"/>
    <w:rsid w:val="08FE6BD9"/>
    <w:rsid w:val="0906154E"/>
    <w:rsid w:val="09595377"/>
    <w:rsid w:val="09721181"/>
    <w:rsid w:val="09792246"/>
    <w:rsid w:val="0985287D"/>
    <w:rsid w:val="09B57B3A"/>
    <w:rsid w:val="09C7493E"/>
    <w:rsid w:val="09DC2F36"/>
    <w:rsid w:val="09E57B43"/>
    <w:rsid w:val="0A467FF5"/>
    <w:rsid w:val="0A6D1674"/>
    <w:rsid w:val="0ADC6FD6"/>
    <w:rsid w:val="0AF1429C"/>
    <w:rsid w:val="0B1A14C5"/>
    <w:rsid w:val="0B353AC9"/>
    <w:rsid w:val="0B47324D"/>
    <w:rsid w:val="0B55082B"/>
    <w:rsid w:val="0B5D287F"/>
    <w:rsid w:val="0B5F4E2D"/>
    <w:rsid w:val="0B787AA9"/>
    <w:rsid w:val="0B99324E"/>
    <w:rsid w:val="0BA24EAE"/>
    <w:rsid w:val="0BAF2D6D"/>
    <w:rsid w:val="0BB963ED"/>
    <w:rsid w:val="0BE56448"/>
    <w:rsid w:val="0BE876E5"/>
    <w:rsid w:val="0BED2418"/>
    <w:rsid w:val="0C083FBC"/>
    <w:rsid w:val="0C23111C"/>
    <w:rsid w:val="0C553BE4"/>
    <w:rsid w:val="0C9D7197"/>
    <w:rsid w:val="0CA15D9A"/>
    <w:rsid w:val="0CAA6326"/>
    <w:rsid w:val="0CB02B88"/>
    <w:rsid w:val="0CDC43B6"/>
    <w:rsid w:val="0CF329D4"/>
    <w:rsid w:val="0CF75845"/>
    <w:rsid w:val="0D1D1957"/>
    <w:rsid w:val="0D2C0912"/>
    <w:rsid w:val="0D581155"/>
    <w:rsid w:val="0D654F30"/>
    <w:rsid w:val="0D6E0485"/>
    <w:rsid w:val="0D8B5C53"/>
    <w:rsid w:val="0DD6055F"/>
    <w:rsid w:val="0E334468"/>
    <w:rsid w:val="0E42269A"/>
    <w:rsid w:val="0E4C6F55"/>
    <w:rsid w:val="0EB30CB9"/>
    <w:rsid w:val="0EE3433B"/>
    <w:rsid w:val="0EF12631"/>
    <w:rsid w:val="0F204DFD"/>
    <w:rsid w:val="0F3C2DF2"/>
    <w:rsid w:val="0F710F1F"/>
    <w:rsid w:val="0F96351F"/>
    <w:rsid w:val="0FA63680"/>
    <w:rsid w:val="0FBC11E8"/>
    <w:rsid w:val="0FE2614A"/>
    <w:rsid w:val="0FEF638B"/>
    <w:rsid w:val="10052CBB"/>
    <w:rsid w:val="10413162"/>
    <w:rsid w:val="10586513"/>
    <w:rsid w:val="105A290D"/>
    <w:rsid w:val="10AF4B02"/>
    <w:rsid w:val="10B03CFC"/>
    <w:rsid w:val="10B32716"/>
    <w:rsid w:val="10C1473A"/>
    <w:rsid w:val="10C71DB5"/>
    <w:rsid w:val="10CB5B0D"/>
    <w:rsid w:val="10F35528"/>
    <w:rsid w:val="11330B34"/>
    <w:rsid w:val="1144268C"/>
    <w:rsid w:val="115D23E4"/>
    <w:rsid w:val="11671785"/>
    <w:rsid w:val="11B84E42"/>
    <w:rsid w:val="12342B2B"/>
    <w:rsid w:val="12B40CB4"/>
    <w:rsid w:val="12D538A0"/>
    <w:rsid w:val="12EC0A8B"/>
    <w:rsid w:val="132E6A37"/>
    <w:rsid w:val="13342CE3"/>
    <w:rsid w:val="133E2BAB"/>
    <w:rsid w:val="13494E4A"/>
    <w:rsid w:val="13697363"/>
    <w:rsid w:val="13735895"/>
    <w:rsid w:val="13BD25BD"/>
    <w:rsid w:val="13C724DF"/>
    <w:rsid w:val="14050B5D"/>
    <w:rsid w:val="141F75F5"/>
    <w:rsid w:val="143516C6"/>
    <w:rsid w:val="14352B90"/>
    <w:rsid w:val="143E5145"/>
    <w:rsid w:val="145F5BC7"/>
    <w:rsid w:val="147D6485"/>
    <w:rsid w:val="153F4E17"/>
    <w:rsid w:val="15683515"/>
    <w:rsid w:val="157B7741"/>
    <w:rsid w:val="15973C94"/>
    <w:rsid w:val="15A045B1"/>
    <w:rsid w:val="15A62787"/>
    <w:rsid w:val="15EF6D9C"/>
    <w:rsid w:val="16262936"/>
    <w:rsid w:val="162B010F"/>
    <w:rsid w:val="16412AD1"/>
    <w:rsid w:val="16862A09"/>
    <w:rsid w:val="16880BDD"/>
    <w:rsid w:val="16CD10D1"/>
    <w:rsid w:val="16CD2C9C"/>
    <w:rsid w:val="16E71F4B"/>
    <w:rsid w:val="16E90451"/>
    <w:rsid w:val="16F74CFA"/>
    <w:rsid w:val="16FC0A52"/>
    <w:rsid w:val="1729248D"/>
    <w:rsid w:val="172F221F"/>
    <w:rsid w:val="175666C2"/>
    <w:rsid w:val="17AF42F5"/>
    <w:rsid w:val="17BB70A6"/>
    <w:rsid w:val="17BF149B"/>
    <w:rsid w:val="17D46821"/>
    <w:rsid w:val="17D71CD2"/>
    <w:rsid w:val="17E51656"/>
    <w:rsid w:val="18621438"/>
    <w:rsid w:val="18973A11"/>
    <w:rsid w:val="189B4103"/>
    <w:rsid w:val="18B50862"/>
    <w:rsid w:val="18B9100E"/>
    <w:rsid w:val="18D46B32"/>
    <w:rsid w:val="18F306AA"/>
    <w:rsid w:val="19207114"/>
    <w:rsid w:val="19692427"/>
    <w:rsid w:val="196F774E"/>
    <w:rsid w:val="197403EB"/>
    <w:rsid w:val="19D00F49"/>
    <w:rsid w:val="1A53085A"/>
    <w:rsid w:val="1A5A7920"/>
    <w:rsid w:val="1A662DB8"/>
    <w:rsid w:val="1A8B2F4E"/>
    <w:rsid w:val="1AF37D08"/>
    <w:rsid w:val="1AF51BB0"/>
    <w:rsid w:val="1B09576A"/>
    <w:rsid w:val="1B261D69"/>
    <w:rsid w:val="1B296F29"/>
    <w:rsid w:val="1B3D62AF"/>
    <w:rsid w:val="1B443218"/>
    <w:rsid w:val="1B4913ED"/>
    <w:rsid w:val="1B810959"/>
    <w:rsid w:val="1BA60F5F"/>
    <w:rsid w:val="1BC24005"/>
    <w:rsid w:val="1C004C25"/>
    <w:rsid w:val="1C0422BA"/>
    <w:rsid w:val="1C647AEB"/>
    <w:rsid w:val="1C821D3D"/>
    <w:rsid w:val="1CA878BD"/>
    <w:rsid w:val="1CAA3BD7"/>
    <w:rsid w:val="1CD07FE4"/>
    <w:rsid w:val="1CE93201"/>
    <w:rsid w:val="1CF7378C"/>
    <w:rsid w:val="1D023B50"/>
    <w:rsid w:val="1D244141"/>
    <w:rsid w:val="1D3D58F7"/>
    <w:rsid w:val="1D3F1389"/>
    <w:rsid w:val="1D51321E"/>
    <w:rsid w:val="1D5C1A72"/>
    <w:rsid w:val="1D755CB1"/>
    <w:rsid w:val="1DA536B7"/>
    <w:rsid w:val="1DB0431C"/>
    <w:rsid w:val="1DC124B6"/>
    <w:rsid w:val="1DC23BD0"/>
    <w:rsid w:val="1DD42F85"/>
    <w:rsid w:val="1E1F7D48"/>
    <w:rsid w:val="1E237F8E"/>
    <w:rsid w:val="1E2754C6"/>
    <w:rsid w:val="1E7820D0"/>
    <w:rsid w:val="1E8C3008"/>
    <w:rsid w:val="1E914501"/>
    <w:rsid w:val="1EF94C3C"/>
    <w:rsid w:val="1F20461A"/>
    <w:rsid w:val="1F343C7F"/>
    <w:rsid w:val="1F8C127A"/>
    <w:rsid w:val="1FAA7941"/>
    <w:rsid w:val="1FD57009"/>
    <w:rsid w:val="1FD94A2A"/>
    <w:rsid w:val="1FDE4E7E"/>
    <w:rsid w:val="1FF8650A"/>
    <w:rsid w:val="20087282"/>
    <w:rsid w:val="204C5A62"/>
    <w:rsid w:val="205A17E0"/>
    <w:rsid w:val="209170DC"/>
    <w:rsid w:val="20A26642"/>
    <w:rsid w:val="20D83D5E"/>
    <w:rsid w:val="21195DF8"/>
    <w:rsid w:val="214C1816"/>
    <w:rsid w:val="2159016B"/>
    <w:rsid w:val="219B37B7"/>
    <w:rsid w:val="21B456AC"/>
    <w:rsid w:val="21CD1D83"/>
    <w:rsid w:val="22184E66"/>
    <w:rsid w:val="222371A7"/>
    <w:rsid w:val="227A62B4"/>
    <w:rsid w:val="2280321C"/>
    <w:rsid w:val="22954BF0"/>
    <w:rsid w:val="22955829"/>
    <w:rsid w:val="22967E85"/>
    <w:rsid w:val="22E11836"/>
    <w:rsid w:val="22FC24FA"/>
    <w:rsid w:val="23012E4A"/>
    <w:rsid w:val="23323B0A"/>
    <w:rsid w:val="23354680"/>
    <w:rsid w:val="23635678"/>
    <w:rsid w:val="238F5ECF"/>
    <w:rsid w:val="23A01991"/>
    <w:rsid w:val="240212A7"/>
    <w:rsid w:val="244450F0"/>
    <w:rsid w:val="2455430B"/>
    <w:rsid w:val="245D66F7"/>
    <w:rsid w:val="24906B1F"/>
    <w:rsid w:val="24AB464A"/>
    <w:rsid w:val="24AC7F89"/>
    <w:rsid w:val="24C73654"/>
    <w:rsid w:val="24C87AD2"/>
    <w:rsid w:val="256C612D"/>
    <w:rsid w:val="2587013A"/>
    <w:rsid w:val="25CE395D"/>
    <w:rsid w:val="26055FA2"/>
    <w:rsid w:val="261C5418"/>
    <w:rsid w:val="26416FFF"/>
    <w:rsid w:val="26575246"/>
    <w:rsid w:val="26D428DA"/>
    <w:rsid w:val="26DC1303"/>
    <w:rsid w:val="27012DF1"/>
    <w:rsid w:val="270C28FD"/>
    <w:rsid w:val="2749092F"/>
    <w:rsid w:val="27692BE2"/>
    <w:rsid w:val="27747A4D"/>
    <w:rsid w:val="27A6222F"/>
    <w:rsid w:val="27B71FE8"/>
    <w:rsid w:val="27CD1895"/>
    <w:rsid w:val="27CF299B"/>
    <w:rsid w:val="27F2781A"/>
    <w:rsid w:val="280237F0"/>
    <w:rsid w:val="280532AA"/>
    <w:rsid w:val="28133675"/>
    <w:rsid w:val="282C12F2"/>
    <w:rsid w:val="28830A19"/>
    <w:rsid w:val="28982EE7"/>
    <w:rsid w:val="2899001E"/>
    <w:rsid w:val="28997034"/>
    <w:rsid w:val="289B1EA7"/>
    <w:rsid w:val="28A325A2"/>
    <w:rsid w:val="28B408E2"/>
    <w:rsid w:val="28EA648C"/>
    <w:rsid w:val="29056B75"/>
    <w:rsid w:val="295108F9"/>
    <w:rsid w:val="295A4D32"/>
    <w:rsid w:val="29A37D7C"/>
    <w:rsid w:val="29A749BD"/>
    <w:rsid w:val="29A94F6C"/>
    <w:rsid w:val="29B12D35"/>
    <w:rsid w:val="2A337FFE"/>
    <w:rsid w:val="2A434D2D"/>
    <w:rsid w:val="2A505842"/>
    <w:rsid w:val="2A7D4B81"/>
    <w:rsid w:val="2AD836BC"/>
    <w:rsid w:val="2AE85B5D"/>
    <w:rsid w:val="2B0101CA"/>
    <w:rsid w:val="2B201194"/>
    <w:rsid w:val="2B2162A4"/>
    <w:rsid w:val="2B33683E"/>
    <w:rsid w:val="2B3744C7"/>
    <w:rsid w:val="2B4E138E"/>
    <w:rsid w:val="2B525157"/>
    <w:rsid w:val="2BC06556"/>
    <w:rsid w:val="2BCA30A7"/>
    <w:rsid w:val="2C006096"/>
    <w:rsid w:val="2C0C43AC"/>
    <w:rsid w:val="2C205FCF"/>
    <w:rsid w:val="2C5A3E42"/>
    <w:rsid w:val="2C7C0FDD"/>
    <w:rsid w:val="2C8B69CC"/>
    <w:rsid w:val="2C972858"/>
    <w:rsid w:val="2CA2493F"/>
    <w:rsid w:val="2CC53E4D"/>
    <w:rsid w:val="2CDF4B0F"/>
    <w:rsid w:val="2CFB63ED"/>
    <w:rsid w:val="2CFC550F"/>
    <w:rsid w:val="2D050D03"/>
    <w:rsid w:val="2D2A3722"/>
    <w:rsid w:val="2D2C716E"/>
    <w:rsid w:val="2D7A6A60"/>
    <w:rsid w:val="2DA90CB3"/>
    <w:rsid w:val="2DE35EB7"/>
    <w:rsid w:val="2DEF09BF"/>
    <w:rsid w:val="2E1D0836"/>
    <w:rsid w:val="2E2F6D2F"/>
    <w:rsid w:val="2ECB4CA9"/>
    <w:rsid w:val="2EE2542F"/>
    <w:rsid w:val="2EEB54CB"/>
    <w:rsid w:val="2EFA291B"/>
    <w:rsid w:val="2F3D512A"/>
    <w:rsid w:val="2F406E09"/>
    <w:rsid w:val="2F567144"/>
    <w:rsid w:val="2F633359"/>
    <w:rsid w:val="2FCC3810"/>
    <w:rsid w:val="300644E6"/>
    <w:rsid w:val="303A1E32"/>
    <w:rsid w:val="303A1F98"/>
    <w:rsid w:val="3062117D"/>
    <w:rsid w:val="30693C2E"/>
    <w:rsid w:val="30BA286A"/>
    <w:rsid w:val="30EB7913"/>
    <w:rsid w:val="30EE6B83"/>
    <w:rsid w:val="31223B1B"/>
    <w:rsid w:val="315D2C8B"/>
    <w:rsid w:val="31701267"/>
    <w:rsid w:val="317A2354"/>
    <w:rsid w:val="31BE70E4"/>
    <w:rsid w:val="31DA0B9D"/>
    <w:rsid w:val="326E54E8"/>
    <w:rsid w:val="3283213D"/>
    <w:rsid w:val="32891ED0"/>
    <w:rsid w:val="329C14B0"/>
    <w:rsid w:val="32AC4828"/>
    <w:rsid w:val="32B473EE"/>
    <w:rsid w:val="32E7060E"/>
    <w:rsid w:val="32ED4799"/>
    <w:rsid w:val="33107140"/>
    <w:rsid w:val="331B5546"/>
    <w:rsid w:val="334E5EA9"/>
    <w:rsid w:val="33AE1FC9"/>
    <w:rsid w:val="33B563D0"/>
    <w:rsid w:val="33BC0390"/>
    <w:rsid w:val="33D20FC9"/>
    <w:rsid w:val="33D6543D"/>
    <w:rsid w:val="340F5638"/>
    <w:rsid w:val="34115836"/>
    <w:rsid w:val="34156A20"/>
    <w:rsid w:val="341951FB"/>
    <w:rsid w:val="346A7BFD"/>
    <w:rsid w:val="348C61CC"/>
    <w:rsid w:val="348E0C53"/>
    <w:rsid w:val="34ED27FA"/>
    <w:rsid w:val="35664EC4"/>
    <w:rsid w:val="3583129E"/>
    <w:rsid w:val="35C76261"/>
    <w:rsid w:val="35D85A7A"/>
    <w:rsid w:val="35DA266B"/>
    <w:rsid w:val="35FD5ED0"/>
    <w:rsid w:val="363D12DC"/>
    <w:rsid w:val="367531AE"/>
    <w:rsid w:val="36771D9B"/>
    <w:rsid w:val="367D1DB8"/>
    <w:rsid w:val="367F139E"/>
    <w:rsid w:val="368B4B2F"/>
    <w:rsid w:val="36D6174C"/>
    <w:rsid w:val="370A3EAC"/>
    <w:rsid w:val="3717589D"/>
    <w:rsid w:val="372E2279"/>
    <w:rsid w:val="377831DA"/>
    <w:rsid w:val="377F4E03"/>
    <w:rsid w:val="37EE2D5B"/>
    <w:rsid w:val="37EE5ABF"/>
    <w:rsid w:val="38737364"/>
    <w:rsid w:val="388554FB"/>
    <w:rsid w:val="38C8225A"/>
    <w:rsid w:val="38C85E1F"/>
    <w:rsid w:val="390251BE"/>
    <w:rsid w:val="393B20EB"/>
    <w:rsid w:val="393B7076"/>
    <w:rsid w:val="39483743"/>
    <w:rsid w:val="39824FCE"/>
    <w:rsid w:val="39921EBA"/>
    <w:rsid w:val="39957629"/>
    <w:rsid w:val="399C7B9F"/>
    <w:rsid w:val="39A066C6"/>
    <w:rsid w:val="39B051C8"/>
    <w:rsid w:val="3A0C43BB"/>
    <w:rsid w:val="3A167AD0"/>
    <w:rsid w:val="3A347D08"/>
    <w:rsid w:val="3A3D680D"/>
    <w:rsid w:val="3A46215D"/>
    <w:rsid w:val="3A554FE4"/>
    <w:rsid w:val="3AB9048D"/>
    <w:rsid w:val="3AC5438D"/>
    <w:rsid w:val="3B176D88"/>
    <w:rsid w:val="3B612B7D"/>
    <w:rsid w:val="3B932235"/>
    <w:rsid w:val="3B9A45FE"/>
    <w:rsid w:val="3BC15EB4"/>
    <w:rsid w:val="3BFB06A4"/>
    <w:rsid w:val="3C0E62A6"/>
    <w:rsid w:val="3CAB06C0"/>
    <w:rsid w:val="3CCD63AA"/>
    <w:rsid w:val="3D3F3E0A"/>
    <w:rsid w:val="3D513E8B"/>
    <w:rsid w:val="3D7C04E7"/>
    <w:rsid w:val="3D7F5E2F"/>
    <w:rsid w:val="3D8E680C"/>
    <w:rsid w:val="3D9E7582"/>
    <w:rsid w:val="3DCA0872"/>
    <w:rsid w:val="3E28385E"/>
    <w:rsid w:val="3E4709D3"/>
    <w:rsid w:val="3E7951B1"/>
    <w:rsid w:val="3E94213A"/>
    <w:rsid w:val="3E970244"/>
    <w:rsid w:val="3E9D562C"/>
    <w:rsid w:val="3EAB243A"/>
    <w:rsid w:val="3EAF0842"/>
    <w:rsid w:val="3EF43DD1"/>
    <w:rsid w:val="3F113819"/>
    <w:rsid w:val="3F245DCC"/>
    <w:rsid w:val="3F537DF7"/>
    <w:rsid w:val="3F563234"/>
    <w:rsid w:val="3F6D28C9"/>
    <w:rsid w:val="3F7E4664"/>
    <w:rsid w:val="3F830EC6"/>
    <w:rsid w:val="3F8514F5"/>
    <w:rsid w:val="3F861E8C"/>
    <w:rsid w:val="3FB67515"/>
    <w:rsid w:val="3FDC1610"/>
    <w:rsid w:val="40186DD6"/>
    <w:rsid w:val="40620111"/>
    <w:rsid w:val="406402E2"/>
    <w:rsid w:val="407F3F43"/>
    <w:rsid w:val="40844CB8"/>
    <w:rsid w:val="408E3D89"/>
    <w:rsid w:val="40990849"/>
    <w:rsid w:val="409E54F9"/>
    <w:rsid w:val="40DF06A0"/>
    <w:rsid w:val="4105337E"/>
    <w:rsid w:val="41350A41"/>
    <w:rsid w:val="41501DA3"/>
    <w:rsid w:val="415A40FB"/>
    <w:rsid w:val="41613245"/>
    <w:rsid w:val="419808AF"/>
    <w:rsid w:val="41CD3208"/>
    <w:rsid w:val="421C17F9"/>
    <w:rsid w:val="421E75A1"/>
    <w:rsid w:val="42B400B7"/>
    <w:rsid w:val="42C93990"/>
    <w:rsid w:val="42DD1EC6"/>
    <w:rsid w:val="42E102BE"/>
    <w:rsid w:val="42ED564C"/>
    <w:rsid w:val="42FD43C9"/>
    <w:rsid w:val="434611A8"/>
    <w:rsid w:val="434E51F9"/>
    <w:rsid w:val="43520FAB"/>
    <w:rsid w:val="436A5B31"/>
    <w:rsid w:val="43856AEA"/>
    <w:rsid w:val="43BD4BE2"/>
    <w:rsid w:val="43DF2E6F"/>
    <w:rsid w:val="43E22259"/>
    <w:rsid w:val="443055A5"/>
    <w:rsid w:val="44466E2C"/>
    <w:rsid w:val="444C37DA"/>
    <w:rsid w:val="4454029A"/>
    <w:rsid w:val="448156A1"/>
    <w:rsid w:val="449944F5"/>
    <w:rsid w:val="44BD67D9"/>
    <w:rsid w:val="44C74275"/>
    <w:rsid w:val="44D35039"/>
    <w:rsid w:val="44E911B7"/>
    <w:rsid w:val="44EF51EE"/>
    <w:rsid w:val="44F70F2A"/>
    <w:rsid w:val="44FD1A54"/>
    <w:rsid w:val="45013497"/>
    <w:rsid w:val="451E4D57"/>
    <w:rsid w:val="45534845"/>
    <w:rsid w:val="45585422"/>
    <w:rsid w:val="45805F5E"/>
    <w:rsid w:val="45AA53AC"/>
    <w:rsid w:val="45B26BB1"/>
    <w:rsid w:val="45FF3A18"/>
    <w:rsid w:val="460E275D"/>
    <w:rsid w:val="46247D3F"/>
    <w:rsid w:val="46422AD2"/>
    <w:rsid w:val="46464B84"/>
    <w:rsid w:val="4675145C"/>
    <w:rsid w:val="469F0ABE"/>
    <w:rsid w:val="46BE687F"/>
    <w:rsid w:val="46BE77FC"/>
    <w:rsid w:val="46C01569"/>
    <w:rsid w:val="47192246"/>
    <w:rsid w:val="4745618E"/>
    <w:rsid w:val="475E56FD"/>
    <w:rsid w:val="47670162"/>
    <w:rsid w:val="477172FD"/>
    <w:rsid w:val="4773061B"/>
    <w:rsid w:val="47900C4F"/>
    <w:rsid w:val="47A214E0"/>
    <w:rsid w:val="48312B19"/>
    <w:rsid w:val="4855653D"/>
    <w:rsid w:val="487553CC"/>
    <w:rsid w:val="48767547"/>
    <w:rsid w:val="48860941"/>
    <w:rsid w:val="488A3088"/>
    <w:rsid w:val="488F494C"/>
    <w:rsid w:val="48DA0207"/>
    <w:rsid w:val="48E0320C"/>
    <w:rsid w:val="48E643DA"/>
    <w:rsid w:val="48E80F77"/>
    <w:rsid w:val="490531AB"/>
    <w:rsid w:val="496E1CE0"/>
    <w:rsid w:val="498D330E"/>
    <w:rsid w:val="49902920"/>
    <w:rsid w:val="49A14F5D"/>
    <w:rsid w:val="49A14FA8"/>
    <w:rsid w:val="49A31EC0"/>
    <w:rsid w:val="49A47D8E"/>
    <w:rsid w:val="49B75979"/>
    <w:rsid w:val="49C55A46"/>
    <w:rsid w:val="49D3528C"/>
    <w:rsid w:val="49E25E95"/>
    <w:rsid w:val="4A1C0AD6"/>
    <w:rsid w:val="4A410D80"/>
    <w:rsid w:val="4A7A4CCB"/>
    <w:rsid w:val="4AAF3960"/>
    <w:rsid w:val="4ABA05E5"/>
    <w:rsid w:val="4ADA028A"/>
    <w:rsid w:val="4B01538E"/>
    <w:rsid w:val="4B2B1DA6"/>
    <w:rsid w:val="4B714CFF"/>
    <w:rsid w:val="4B9A12FB"/>
    <w:rsid w:val="4BF33747"/>
    <w:rsid w:val="4C022E75"/>
    <w:rsid w:val="4C234C03"/>
    <w:rsid w:val="4C400F74"/>
    <w:rsid w:val="4C966425"/>
    <w:rsid w:val="4CB710AC"/>
    <w:rsid w:val="4D2F1B82"/>
    <w:rsid w:val="4D46714D"/>
    <w:rsid w:val="4D5837CF"/>
    <w:rsid w:val="4DA10E81"/>
    <w:rsid w:val="4DAB5F7B"/>
    <w:rsid w:val="4DBF7CB9"/>
    <w:rsid w:val="4DC65958"/>
    <w:rsid w:val="4DD27060"/>
    <w:rsid w:val="4DDE1DBA"/>
    <w:rsid w:val="4DFB00C9"/>
    <w:rsid w:val="4E423CD2"/>
    <w:rsid w:val="4E4B6FF7"/>
    <w:rsid w:val="4E66611E"/>
    <w:rsid w:val="4E780D70"/>
    <w:rsid w:val="4E9A64C0"/>
    <w:rsid w:val="4EB9695A"/>
    <w:rsid w:val="4EBE4B4C"/>
    <w:rsid w:val="4EDB4E70"/>
    <w:rsid w:val="4EDB6E88"/>
    <w:rsid w:val="4EDF0339"/>
    <w:rsid w:val="4EEF0659"/>
    <w:rsid w:val="4F270E8D"/>
    <w:rsid w:val="4FC30035"/>
    <w:rsid w:val="4FCE4BC7"/>
    <w:rsid w:val="508B39FB"/>
    <w:rsid w:val="50F52BFD"/>
    <w:rsid w:val="51105AF6"/>
    <w:rsid w:val="51116293"/>
    <w:rsid w:val="51362615"/>
    <w:rsid w:val="51680C9A"/>
    <w:rsid w:val="516D67FC"/>
    <w:rsid w:val="5175252B"/>
    <w:rsid w:val="517E2850"/>
    <w:rsid w:val="519E5635"/>
    <w:rsid w:val="51AB6249"/>
    <w:rsid w:val="51B82963"/>
    <w:rsid w:val="51CB5BBB"/>
    <w:rsid w:val="51F50428"/>
    <w:rsid w:val="52445530"/>
    <w:rsid w:val="526C5F0E"/>
    <w:rsid w:val="526E0411"/>
    <w:rsid w:val="527A16A8"/>
    <w:rsid w:val="529119EB"/>
    <w:rsid w:val="52D27672"/>
    <w:rsid w:val="52E401E5"/>
    <w:rsid w:val="52F7375D"/>
    <w:rsid w:val="53024ED2"/>
    <w:rsid w:val="531117EB"/>
    <w:rsid w:val="533F4F81"/>
    <w:rsid w:val="53441E29"/>
    <w:rsid w:val="534A76CD"/>
    <w:rsid w:val="537A0A62"/>
    <w:rsid w:val="537F1DCD"/>
    <w:rsid w:val="53942B91"/>
    <w:rsid w:val="53AC47FA"/>
    <w:rsid w:val="53BA6F17"/>
    <w:rsid w:val="53F52751"/>
    <w:rsid w:val="54896B75"/>
    <w:rsid w:val="54E31A1E"/>
    <w:rsid w:val="54F65FFA"/>
    <w:rsid w:val="54FE5BAD"/>
    <w:rsid w:val="551D5BA5"/>
    <w:rsid w:val="553B2500"/>
    <w:rsid w:val="553B5FD8"/>
    <w:rsid w:val="55515688"/>
    <w:rsid w:val="558F26DD"/>
    <w:rsid w:val="55924DE1"/>
    <w:rsid w:val="559F03BD"/>
    <w:rsid w:val="55D40F06"/>
    <w:rsid w:val="55D4125B"/>
    <w:rsid w:val="55FC4A08"/>
    <w:rsid w:val="560B6123"/>
    <w:rsid w:val="562D7579"/>
    <w:rsid w:val="56946E39"/>
    <w:rsid w:val="56F17BBB"/>
    <w:rsid w:val="56FC7791"/>
    <w:rsid w:val="576D7675"/>
    <w:rsid w:val="57C96AD1"/>
    <w:rsid w:val="57E21422"/>
    <w:rsid w:val="57F410B9"/>
    <w:rsid w:val="58062047"/>
    <w:rsid w:val="58363031"/>
    <w:rsid w:val="58730A25"/>
    <w:rsid w:val="58764F89"/>
    <w:rsid w:val="589E0C2A"/>
    <w:rsid w:val="58AB363F"/>
    <w:rsid w:val="58C11E15"/>
    <w:rsid w:val="58DF2374"/>
    <w:rsid w:val="58EF1D72"/>
    <w:rsid w:val="590E3AD4"/>
    <w:rsid w:val="59126179"/>
    <w:rsid w:val="592B117C"/>
    <w:rsid w:val="595F7211"/>
    <w:rsid w:val="596B4FEC"/>
    <w:rsid w:val="59945E9B"/>
    <w:rsid w:val="59AC1E0B"/>
    <w:rsid w:val="5A212529"/>
    <w:rsid w:val="5AA0681E"/>
    <w:rsid w:val="5ABB6CAC"/>
    <w:rsid w:val="5AD45AFA"/>
    <w:rsid w:val="5AE23D15"/>
    <w:rsid w:val="5B083647"/>
    <w:rsid w:val="5B266C40"/>
    <w:rsid w:val="5B46784A"/>
    <w:rsid w:val="5B7B2737"/>
    <w:rsid w:val="5B7E4CFB"/>
    <w:rsid w:val="5BAC34BE"/>
    <w:rsid w:val="5BB44BA1"/>
    <w:rsid w:val="5BBE5464"/>
    <w:rsid w:val="5BC30E1E"/>
    <w:rsid w:val="5BF612E0"/>
    <w:rsid w:val="5C0F705D"/>
    <w:rsid w:val="5C495033"/>
    <w:rsid w:val="5C56107C"/>
    <w:rsid w:val="5C7C6464"/>
    <w:rsid w:val="5C9019DE"/>
    <w:rsid w:val="5CC6551D"/>
    <w:rsid w:val="5CE0496E"/>
    <w:rsid w:val="5D34627E"/>
    <w:rsid w:val="5D3A6637"/>
    <w:rsid w:val="5D454185"/>
    <w:rsid w:val="5D622874"/>
    <w:rsid w:val="5D6D246C"/>
    <w:rsid w:val="5DA36FB0"/>
    <w:rsid w:val="5DAC633A"/>
    <w:rsid w:val="5DC70461"/>
    <w:rsid w:val="5DDC002D"/>
    <w:rsid w:val="5DFB152A"/>
    <w:rsid w:val="5E1030D3"/>
    <w:rsid w:val="5E1612F0"/>
    <w:rsid w:val="5E754414"/>
    <w:rsid w:val="5E92407D"/>
    <w:rsid w:val="5EB64B95"/>
    <w:rsid w:val="5EE63229"/>
    <w:rsid w:val="5EFF1868"/>
    <w:rsid w:val="5F0C74C6"/>
    <w:rsid w:val="5F125DB4"/>
    <w:rsid w:val="5F380BBA"/>
    <w:rsid w:val="5F3F2EEA"/>
    <w:rsid w:val="5F5F1AF7"/>
    <w:rsid w:val="5F87419B"/>
    <w:rsid w:val="5F8F57C1"/>
    <w:rsid w:val="5FAA0C76"/>
    <w:rsid w:val="5FC80D93"/>
    <w:rsid w:val="5FFB723F"/>
    <w:rsid w:val="60153661"/>
    <w:rsid w:val="60244563"/>
    <w:rsid w:val="602816AC"/>
    <w:rsid w:val="605C3031"/>
    <w:rsid w:val="60601B95"/>
    <w:rsid w:val="607F379E"/>
    <w:rsid w:val="60807465"/>
    <w:rsid w:val="60A977CB"/>
    <w:rsid w:val="60B82907"/>
    <w:rsid w:val="60EE014E"/>
    <w:rsid w:val="60EE06E6"/>
    <w:rsid w:val="60F46C45"/>
    <w:rsid w:val="611D0237"/>
    <w:rsid w:val="61366702"/>
    <w:rsid w:val="613C062B"/>
    <w:rsid w:val="614D71C0"/>
    <w:rsid w:val="61781466"/>
    <w:rsid w:val="61847F9F"/>
    <w:rsid w:val="61930DA7"/>
    <w:rsid w:val="61C843C4"/>
    <w:rsid w:val="61E81395"/>
    <w:rsid w:val="61E86630"/>
    <w:rsid w:val="61EC0935"/>
    <w:rsid w:val="620E5410"/>
    <w:rsid w:val="623D2400"/>
    <w:rsid w:val="625A7DE1"/>
    <w:rsid w:val="625C6CC4"/>
    <w:rsid w:val="62751705"/>
    <w:rsid w:val="629B2DE8"/>
    <w:rsid w:val="62EF4B54"/>
    <w:rsid w:val="63170ACF"/>
    <w:rsid w:val="631F7430"/>
    <w:rsid w:val="633F6E4D"/>
    <w:rsid w:val="63620AFB"/>
    <w:rsid w:val="636D473A"/>
    <w:rsid w:val="636D7230"/>
    <w:rsid w:val="639F455E"/>
    <w:rsid w:val="63A40A9E"/>
    <w:rsid w:val="63DC35ED"/>
    <w:rsid w:val="640757DD"/>
    <w:rsid w:val="641A5B29"/>
    <w:rsid w:val="646F4E87"/>
    <w:rsid w:val="64AA026B"/>
    <w:rsid w:val="64B356A7"/>
    <w:rsid w:val="652F350D"/>
    <w:rsid w:val="653F5FFA"/>
    <w:rsid w:val="65515B27"/>
    <w:rsid w:val="65673E6D"/>
    <w:rsid w:val="656E34CC"/>
    <w:rsid w:val="658740AB"/>
    <w:rsid w:val="65C8170B"/>
    <w:rsid w:val="65F347BE"/>
    <w:rsid w:val="662273EE"/>
    <w:rsid w:val="66813E83"/>
    <w:rsid w:val="668B5FFE"/>
    <w:rsid w:val="66C3401B"/>
    <w:rsid w:val="66F8687E"/>
    <w:rsid w:val="67074ED9"/>
    <w:rsid w:val="6745430B"/>
    <w:rsid w:val="6752223D"/>
    <w:rsid w:val="676E38A9"/>
    <w:rsid w:val="67701F5E"/>
    <w:rsid w:val="67716488"/>
    <w:rsid w:val="67830FD4"/>
    <w:rsid w:val="67A5563C"/>
    <w:rsid w:val="67D404A7"/>
    <w:rsid w:val="682F30E3"/>
    <w:rsid w:val="68335E93"/>
    <w:rsid w:val="6853570E"/>
    <w:rsid w:val="687415E6"/>
    <w:rsid w:val="68851612"/>
    <w:rsid w:val="68881E72"/>
    <w:rsid w:val="68A97371"/>
    <w:rsid w:val="68AB4C28"/>
    <w:rsid w:val="68AF296B"/>
    <w:rsid w:val="68CD686F"/>
    <w:rsid w:val="6943262E"/>
    <w:rsid w:val="69507764"/>
    <w:rsid w:val="695C5EF6"/>
    <w:rsid w:val="69656BAC"/>
    <w:rsid w:val="696A05D1"/>
    <w:rsid w:val="699230B8"/>
    <w:rsid w:val="69A10F4C"/>
    <w:rsid w:val="69F128D8"/>
    <w:rsid w:val="69F96498"/>
    <w:rsid w:val="6A2118F4"/>
    <w:rsid w:val="6A7624FF"/>
    <w:rsid w:val="6A805A65"/>
    <w:rsid w:val="6A97308E"/>
    <w:rsid w:val="6AAC3DA2"/>
    <w:rsid w:val="6B0110CE"/>
    <w:rsid w:val="6B1205EB"/>
    <w:rsid w:val="6B2C7DEB"/>
    <w:rsid w:val="6B3C0B68"/>
    <w:rsid w:val="6B842112"/>
    <w:rsid w:val="6BB51FDC"/>
    <w:rsid w:val="6BC666BA"/>
    <w:rsid w:val="6C047570"/>
    <w:rsid w:val="6C3275E3"/>
    <w:rsid w:val="6C8A162D"/>
    <w:rsid w:val="6CB11A66"/>
    <w:rsid w:val="6CC07610"/>
    <w:rsid w:val="6CC4450B"/>
    <w:rsid w:val="6CD52D05"/>
    <w:rsid w:val="6CF81FF2"/>
    <w:rsid w:val="6D0F417C"/>
    <w:rsid w:val="6D3E5C98"/>
    <w:rsid w:val="6D897C5D"/>
    <w:rsid w:val="6D9512DD"/>
    <w:rsid w:val="6D9A0CAC"/>
    <w:rsid w:val="6DA76C62"/>
    <w:rsid w:val="6DE96C05"/>
    <w:rsid w:val="6DFE48B1"/>
    <w:rsid w:val="6E15489A"/>
    <w:rsid w:val="6E491332"/>
    <w:rsid w:val="6E561F1B"/>
    <w:rsid w:val="6E7502FE"/>
    <w:rsid w:val="6E8806B3"/>
    <w:rsid w:val="6E970509"/>
    <w:rsid w:val="6EAF637E"/>
    <w:rsid w:val="6EB32EA3"/>
    <w:rsid w:val="6F035478"/>
    <w:rsid w:val="6F062ABF"/>
    <w:rsid w:val="6F080CC0"/>
    <w:rsid w:val="6F093B7C"/>
    <w:rsid w:val="6F274BD3"/>
    <w:rsid w:val="6F583F5F"/>
    <w:rsid w:val="6F5D0E82"/>
    <w:rsid w:val="6F6B7B6F"/>
    <w:rsid w:val="6F853C77"/>
    <w:rsid w:val="6F976C7B"/>
    <w:rsid w:val="6FCC4473"/>
    <w:rsid w:val="6FD9610A"/>
    <w:rsid w:val="6FF10110"/>
    <w:rsid w:val="70036A1E"/>
    <w:rsid w:val="701D14C0"/>
    <w:rsid w:val="704B508B"/>
    <w:rsid w:val="70640D6A"/>
    <w:rsid w:val="70B42364"/>
    <w:rsid w:val="70E57F44"/>
    <w:rsid w:val="70F969D3"/>
    <w:rsid w:val="71287BA5"/>
    <w:rsid w:val="71571E12"/>
    <w:rsid w:val="715B7314"/>
    <w:rsid w:val="71A009A0"/>
    <w:rsid w:val="71DF7670"/>
    <w:rsid w:val="71E625CB"/>
    <w:rsid w:val="71F0135D"/>
    <w:rsid w:val="721771DA"/>
    <w:rsid w:val="721E3D76"/>
    <w:rsid w:val="72274239"/>
    <w:rsid w:val="728144DF"/>
    <w:rsid w:val="729F2BC3"/>
    <w:rsid w:val="72F826DA"/>
    <w:rsid w:val="73055515"/>
    <w:rsid w:val="73254EA5"/>
    <w:rsid w:val="734D045D"/>
    <w:rsid w:val="73613E09"/>
    <w:rsid w:val="736C7778"/>
    <w:rsid w:val="73CF115A"/>
    <w:rsid w:val="73E47E3B"/>
    <w:rsid w:val="73F10DB5"/>
    <w:rsid w:val="742F1B6E"/>
    <w:rsid w:val="74452F75"/>
    <w:rsid w:val="74591DE6"/>
    <w:rsid w:val="74634F21"/>
    <w:rsid w:val="747C1FDA"/>
    <w:rsid w:val="74873522"/>
    <w:rsid w:val="74922A93"/>
    <w:rsid w:val="74B140A2"/>
    <w:rsid w:val="74ED63DB"/>
    <w:rsid w:val="74FA4E92"/>
    <w:rsid w:val="75157FFA"/>
    <w:rsid w:val="75B01AD0"/>
    <w:rsid w:val="75EF25F8"/>
    <w:rsid w:val="76204CBE"/>
    <w:rsid w:val="762C7024"/>
    <w:rsid w:val="7638393F"/>
    <w:rsid w:val="763F3D48"/>
    <w:rsid w:val="76556214"/>
    <w:rsid w:val="76564617"/>
    <w:rsid w:val="7687070F"/>
    <w:rsid w:val="76E70B61"/>
    <w:rsid w:val="772207AC"/>
    <w:rsid w:val="77255B76"/>
    <w:rsid w:val="77C60BDC"/>
    <w:rsid w:val="77D9530A"/>
    <w:rsid w:val="77F66EFA"/>
    <w:rsid w:val="781A5E8B"/>
    <w:rsid w:val="782703F0"/>
    <w:rsid w:val="782A5B6A"/>
    <w:rsid w:val="7838302B"/>
    <w:rsid w:val="783D1A8C"/>
    <w:rsid w:val="785575ED"/>
    <w:rsid w:val="785726D7"/>
    <w:rsid w:val="78986F77"/>
    <w:rsid w:val="78BD3DE1"/>
    <w:rsid w:val="78CD4E2B"/>
    <w:rsid w:val="78ED62D6"/>
    <w:rsid w:val="78F5004A"/>
    <w:rsid w:val="791A5119"/>
    <w:rsid w:val="791C3062"/>
    <w:rsid w:val="793433EA"/>
    <w:rsid w:val="794E0984"/>
    <w:rsid w:val="796C0DBC"/>
    <w:rsid w:val="79914D92"/>
    <w:rsid w:val="79AB2CDA"/>
    <w:rsid w:val="79EB7F18"/>
    <w:rsid w:val="79ED3AFE"/>
    <w:rsid w:val="7A0F1A19"/>
    <w:rsid w:val="7A454444"/>
    <w:rsid w:val="7A45544F"/>
    <w:rsid w:val="7A4E6F82"/>
    <w:rsid w:val="7A565B98"/>
    <w:rsid w:val="7A6B7EEB"/>
    <w:rsid w:val="7A9F3307"/>
    <w:rsid w:val="7AB34E12"/>
    <w:rsid w:val="7ABA68FA"/>
    <w:rsid w:val="7AD92B21"/>
    <w:rsid w:val="7B416716"/>
    <w:rsid w:val="7B484EBD"/>
    <w:rsid w:val="7B5E0104"/>
    <w:rsid w:val="7B90084B"/>
    <w:rsid w:val="7B933945"/>
    <w:rsid w:val="7BBE417B"/>
    <w:rsid w:val="7BE0133E"/>
    <w:rsid w:val="7BE575B6"/>
    <w:rsid w:val="7BEC44BE"/>
    <w:rsid w:val="7C295EB1"/>
    <w:rsid w:val="7C9D2274"/>
    <w:rsid w:val="7CBF6872"/>
    <w:rsid w:val="7D1E1338"/>
    <w:rsid w:val="7D293D88"/>
    <w:rsid w:val="7D312E65"/>
    <w:rsid w:val="7D421319"/>
    <w:rsid w:val="7D5E0299"/>
    <w:rsid w:val="7D820E70"/>
    <w:rsid w:val="7D9E46F5"/>
    <w:rsid w:val="7DA96D9D"/>
    <w:rsid w:val="7DBE6D67"/>
    <w:rsid w:val="7E644256"/>
    <w:rsid w:val="7EAF27E4"/>
    <w:rsid w:val="7ED55800"/>
    <w:rsid w:val="7EDD1885"/>
    <w:rsid w:val="7EDD59D0"/>
    <w:rsid w:val="7F2F6DD7"/>
    <w:rsid w:val="7F454AAE"/>
    <w:rsid w:val="7F565831"/>
    <w:rsid w:val="7F805C70"/>
    <w:rsid w:val="7FA44354"/>
    <w:rsid w:val="7FB767E6"/>
    <w:rsid w:val="7FD85699"/>
    <w:rsid w:val="7FF4051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iPriority="0" w:semiHidden="0" w:name="Hyperlink"/>
    <w:lsdException w:qFormat="1"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9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77"/>
    <w:autoRedefine/>
    <w:qFormat/>
    <w:uiPriority w:val="0"/>
    <w:pPr>
      <w:keepNext/>
      <w:keepLines/>
      <w:spacing w:before="260" w:after="260" w:line="415" w:lineRule="auto"/>
      <w:outlineLvl w:val="1"/>
    </w:pPr>
    <w:rPr>
      <w:rFonts w:ascii="Arial" w:hAnsi="Arial" w:eastAsia="黑体"/>
      <w:b/>
      <w:bCs/>
      <w:kern w:val="0"/>
      <w:sz w:val="32"/>
      <w:szCs w:val="32"/>
    </w:rPr>
  </w:style>
  <w:style w:type="paragraph" w:styleId="4">
    <w:name w:val="heading 3"/>
    <w:basedOn w:val="1"/>
    <w:next w:val="1"/>
    <w:link w:val="118"/>
    <w:autoRedefine/>
    <w:qFormat/>
    <w:uiPriority w:val="0"/>
    <w:pPr>
      <w:keepNext/>
      <w:keepLines/>
      <w:spacing w:before="260" w:after="260" w:line="416" w:lineRule="auto"/>
      <w:outlineLvl w:val="2"/>
    </w:pPr>
    <w:rPr>
      <w:b/>
      <w:bCs/>
      <w:kern w:val="0"/>
      <w:sz w:val="32"/>
      <w:szCs w:val="32"/>
    </w:rPr>
  </w:style>
  <w:style w:type="paragraph" w:styleId="5">
    <w:name w:val="heading 4"/>
    <w:basedOn w:val="1"/>
    <w:next w:val="1"/>
    <w:link w:val="75"/>
    <w:autoRedefine/>
    <w:qFormat/>
    <w:uiPriority w:val="0"/>
    <w:pPr>
      <w:keepNext/>
      <w:keepLines/>
      <w:spacing w:before="280" w:after="290" w:line="374" w:lineRule="auto"/>
      <w:outlineLvl w:val="3"/>
    </w:pPr>
    <w:rPr>
      <w:rFonts w:ascii="Arial" w:hAnsi="Arial" w:eastAsia="黑体"/>
      <w:b/>
      <w:bCs/>
      <w:kern w:val="0"/>
      <w:sz w:val="28"/>
      <w:szCs w:val="28"/>
    </w:rPr>
  </w:style>
  <w:style w:type="paragraph" w:styleId="6">
    <w:name w:val="heading 5"/>
    <w:next w:val="1"/>
    <w:link w:val="70"/>
    <w:autoRedefine/>
    <w:qFormat/>
    <w:uiPriority w:val="0"/>
    <w:pPr>
      <w:keepNext/>
      <w:keepLines/>
      <w:spacing w:before="280" w:after="290" w:line="372" w:lineRule="auto"/>
      <w:outlineLvl w:val="4"/>
    </w:pPr>
    <w:rPr>
      <w:rFonts w:ascii="Times New Roman" w:hAnsi="Times New Roman" w:eastAsia="宋体" w:cs="Times New Roman"/>
      <w:sz w:val="28"/>
      <w:lang w:val="en-US" w:eastAsia="zh-CN" w:bidi="ar-SA"/>
    </w:rPr>
  </w:style>
  <w:style w:type="paragraph" w:styleId="7">
    <w:name w:val="heading 6"/>
    <w:basedOn w:val="1"/>
    <w:next w:val="1"/>
    <w:link w:val="116"/>
    <w:autoRedefine/>
    <w:qFormat/>
    <w:uiPriority w:val="0"/>
    <w:pPr>
      <w:keepNext/>
      <w:keepLines/>
      <w:spacing w:before="240" w:after="64" w:line="317" w:lineRule="auto"/>
      <w:outlineLvl w:val="5"/>
    </w:pPr>
    <w:rPr>
      <w:rFonts w:ascii="Arial" w:hAnsi="Arial" w:eastAsia="黑体"/>
      <w:b/>
      <w:kern w:val="0"/>
      <w:sz w:val="24"/>
      <w:szCs w:val="20"/>
    </w:rPr>
  </w:style>
  <w:style w:type="paragraph" w:styleId="8">
    <w:name w:val="heading 7"/>
    <w:basedOn w:val="1"/>
    <w:next w:val="1"/>
    <w:link w:val="108"/>
    <w:autoRedefine/>
    <w:qFormat/>
    <w:uiPriority w:val="0"/>
    <w:pPr>
      <w:keepNext/>
      <w:keepLines/>
      <w:spacing w:before="240" w:after="64" w:line="317" w:lineRule="auto"/>
      <w:outlineLvl w:val="6"/>
    </w:pPr>
    <w:rPr>
      <w:b/>
      <w:kern w:val="0"/>
      <w:sz w:val="24"/>
      <w:szCs w:val="20"/>
    </w:rPr>
  </w:style>
  <w:style w:type="paragraph" w:styleId="9">
    <w:name w:val="heading 8"/>
    <w:basedOn w:val="1"/>
    <w:next w:val="1"/>
    <w:link w:val="122"/>
    <w:autoRedefine/>
    <w:qFormat/>
    <w:uiPriority w:val="0"/>
    <w:pPr>
      <w:keepNext/>
      <w:keepLines/>
      <w:spacing w:before="240" w:after="64" w:line="317" w:lineRule="auto"/>
      <w:outlineLvl w:val="7"/>
    </w:pPr>
    <w:rPr>
      <w:rFonts w:ascii="Arial" w:hAnsi="Arial" w:eastAsia="黑体"/>
      <w:kern w:val="0"/>
      <w:sz w:val="24"/>
      <w:szCs w:val="20"/>
    </w:rPr>
  </w:style>
  <w:style w:type="paragraph" w:styleId="10">
    <w:name w:val="heading 9"/>
    <w:basedOn w:val="1"/>
    <w:next w:val="1"/>
    <w:link w:val="78"/>
    <w:qFormat/>
    <w:uiPriority w:val="0"/>
    <w:pPr>
      <w:keepNext/>
      <w:keepLines/>
      <w:spacing w:before="240" w:after="64" w:line="317" w:lineRule="auto"/>
      <w:outlineLvl w:val="8"/>
    </w:pPr>
    <w:rPr>
      <w:rFonts w:ascii="Arial" w:hAnsi="Arial" w:eastAsia="黑体"/>
      <w:kern w:val="0"/>
      <w:sz w:val="20"/>
      <w:szCs w:val="20"/>
    </w:rPr>
  </w:style>
  <w:style w:type="character" w:default="1" w:styleId="49">
    <w:name w:val="Default Paragraph Font"/>
    <w:semiHidden/>
    <w:unhideWhenUsed/>
    <w:qFormat/>
    <w:uiPriority w:val="1"/>
  </w:style>
  <w:style w:type="table" w:default="1" w:styleId="4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11">
    <w:name w:val="toc 7"/>
    <w:basedOn w:val="1"/>
    <w:next w:val="1"/>
    <w:qFormat/>
    <w:uiPriority w:val="0"/>
    <w:pPr>
      <w:ind w:left="1260"/>
      <w:jc w:val="left"/>
    </w:pPr>
    <w:rPr>
      <w:sz w:val="18"/>
      <w:szCs w:val="18"/>
    </w:rPr>
  </w:style>
  <w:style w:type="paragraph" w:styleId="12">
    <w:name w:val="Normal Indent"/>
    <w:basedOn w:val="1"/>
    <w:link w:val="106"/>
    <w:qFormat/>
    <w:uiPriority w:val="0"/>
    <w:pPr>
      <w:adjustRightInd w:val="0"/>
      <w:spacing w:line="360" w:lineRule="atLeast"/>
      <w:ind w:firstLine="482"/>
      <w:textAlignment w:val="baseline"/>
    </w:pPr>
    <w:rPr>
      <w:kern w:val="0"/>
      <w:sz w:val="24"/>
    </w:rPr>
  </w:style>
  <w:style w:type="paragraph" w:styleId="13">
    <w:name w:val="caption"/>
    <w:basedOn w:val="1"/>
    <w:next w:val="1"/>
    <w:qFormat/>
    <w:uiPriority w:val="0"/>
    <w:pPr>
      <w:keepLines/>
      <w:tabs>
        <w:tab w:val="left" w:pos="0"/>
      </w:tabs>
      <w:spacing w:before="152" w:after="160" w:line="240" w:lineRule="atLeast"/>
      <w:jc w:val="left"/>
    </w:pPr>
    <w:rPr>
      <w:rFonts w:ascii="Arial" w:hAnsi="Arial" w:eastAsia="黑体" w:cs="Arial"/>
      <w:bCs/>
      <w:snapToGrid w:val="0"/>
      <w:kern w:val="0"/>
      <w:sz w:val="20"/>
      <w:szCs w:val="20"/>
    </w:rPr>
  </w:style>
  <w:style w:type="paragraph" w:styleId="14">
    <w:name w:val="index 5"/>
    <w:basedOn w:val="1"/>
    <w:next w:val="1"/>
    <w:qFormat/>
    <w:uiPriority w:val="0"/>
    <w:pPr>
      <w:ind w:left="1680"/>
    </w:pPr>
  </w:style>
  <w:style w:type="paragraph" w:styleId="15">
    <w:name w:val="Document Map"/>
    <w:basedOn w:val="1"/>
    <w:link w:val="90"/>
    <w:qFormat/>
    <w:uiPriority w:val="0"/>
    <w:pPr>
      <w:shd w:val="clear" w:color="auto" w:fill="000080"/>
    </w:pPr>
    <w:rPr>
      <w:kern w:val="0"/>
      <w:sz w:val="20"/>
    </w:rPr>
  </w:style>
  <w:style w:type="paragraph" w:styleId="16">
    <w:name w:val="toa heading"/>
    <w:basedOn w:val="1"/>
    <w:next w:val="1"/>
    <w:qFormat/>
    <w:uiPriority w:val="0"/>
    <w:pPr>
      <w:adjustRightInd w:val="0"/>
      <w:spacing w:line="360" w:lineRule="atLeast"/>
      <w:jc w:val="center"/>
      <w:textAlignment w:val="baseline"/>
    </w:pPr>
    <w:rPr>
      <w:rFonts w:ascii="Arial" w:hAnsi="Arial" w:eastAsia="黑体"/>
      <w:kern w:val="0"/>
      <w:sz w:val="36"/>
      <w:szCs w:val="20"/>
    </w:rPr>
  </w:style>
  <w:style w:type="paragraph" w:styleId="17">
    <w:name w:val="annotation text"/>
    <w:basedOn w:val="1"/>
    <w:link w:val="117"/>
    <w:qFormat/>
    <w:uiPriority w:val="0"/>
    <w:pPr>
      <w:jc w:val="left"/>
    </w:pPr>
    <w:rPr>
      <w:kern w:val="0"/>
      <w:sz w:val="20"/>
    </w:rPr>
  </w:style>
  <w:style w:type="paragraph" w:styleId="18">
    <w:name w:val="Salutation"/>
    <w:basedOn w:val="1"/>
    <w:next w:val="1"/>
    <w:link w:val="81"/>
    <w:qFormat/>
    <w:uiPriority w:val="0"/>
    <w:pPr>
      <w:widowControl/>
      <w:jc w:val="left"/>
    </w:pPr>
    <w:rPr>
      <w:kern w:val="0"/>
      <w:sz w:val="30"/>
      <w:szCs w:val="20"/>
    </w:rPr>
  </w:style>
  <w:style w:type="paragraph" w:styleId="19">
    <w:name w:val="Body Text 3"/>
    <w:basedOn w:val="1"/>
    <w:link w:val="110"/>
    <w:qFormat/>
    <w:uiPriority w:val="0"/>
    <w:pPr>
      <w:spacing w:line="500" w:lineRule="exact"/>
    </w:pPr>
    <w:rPr>
      <w:color w:val="000000"/>
      <w:kern w:val="0"/>
      <w:sz w:val="24"/>
      <w:szCs w:val="20"/>
    </w:rPr>
  </w:style>
  <w:style w:type="paragraph" w:styleId="20">
    <w:name w:val="Body Text"/>
    <w:basedOn w:val="1"/>
    <w:link w:val="103"/>
    <w:qFormat/>
    <w:uiPriority w:val="0"/>
    <w:pPr>
      <w:spacing w:line="360" w:lineRule="auto"/>
    </w:pPr>
    <w:rPr>
      <w:rFonts w:eastAsia="仿宋_GB2312"/>
      <w:kern w:val="0"/>
      <w:sz w:val="23"/>
    </w:rPr>
  </w:style>
  <w:style w:type="paragraph" w:styleId="21">
    <w:name w:val="Body Text Indent"/>
    <w:basedOn w:val="1"/>
    <w:link w:val="119"/>
    <w:qFormat/>
    <w:uiPriority w:val="0"/>
    <w:pPr>
      <w:spacing w:line="360" w:lineRule="auto"/>
      <w:ind w:firstLine="500" w:firstLineChars="200"/>
    </w:pPr>
    <w:rPr>
      <w:rFonts w:eastAsia="仿宋_GB2312"/>
      <w:kern w:val="0"/>
      <w:sz w:val="25"/>
    </w:rPr>
  </w:style>
  <w:style w:type="paragraph" w:styleId="22">
    <w:name w:val="Block Text"/>
    <w:basedOn w:val="1"/>
    <w:qFormat/>
    <w:uiPriority w:val="0"/>
    <w:pPr>
      <w:spacing w:line="360" w:lineRule="auto"/>
      <w:ind w:right="210" w:rightChars="100" w:firstLine="560" w:firstLineChars="200"/>
    </w:pPr>
    <w:rPr>
      <w:rFonts w:ascii="宋体" w:hAnsi="宋体"/>
      <w:color w:val="000000"/>
      <w:spacing w:val="20"/>
      <w:kern w:val="24"/>
      <w:sz w:val="24"/>
      <w:szCs w:val="18"/>
    </w:rPr>
  </w:style>
  <w:style w:type="paragraph" w:styleId="23">
    <w:name w:val="toc 5"/>
    <w:basedOn w:val="1"/>
    <w:next w:val="1"/>
    <w:qFormat/>
    <w:uiPriority w:val="0"/>
    <w:pPr>
      <w:ind w:left="840"/>
      <w:jc w:val="left"/>
    </w:pPr>
    <w:rPr>
      <w:sz w:val="18"/>
      <w:szCs w:val="18"/>
    </w:rPr>
  </w:style>
  <w:style w:type="paragraph" w:styleId="24">
    <w:name w:val="toc 3"/>
    <w:basedOn w:val="1"/>
    <w:next w:val="1"/>
    <w:qFormat/>
    <w:uiPriority w:val="0"/>
    <w:pPr>
      <w:ind w:left="840" w:leftChars="400"/>
    </w:pPr>
    <w:rPr>
      <w:rFonts w:eastAsia="仿宋_GB2312"/>
      <w:sz w:val="28"/>
    </w:rPr>
  </w:style>
  <w:style w:type="paragraph" w:styleId="25">
    <w:name w:val="Plain Text"/>
    <w:basedOn w:val="1"/>
    <w:link w:val="95"/>
    <w:qFormat/>
    <w:uiPriority w:val="0"/>
    <w:rPr>
      <w:rFonts w:ascii="宋体" w:hAnsi="Courier New"/>
      <w:kern w:val="0"/>
      <w:sz w:val="20"/>
      <w:szCs w:val="21"/>
    </w:rPr>
  </w:style>
  <w:style w:type="paragraph" w:styleId="26">
    <w:name w:val="toc 8"/>
    <w:basedOn w:val="1"/>
    <w:next w:val="1"/>
    <w:qFormat/>
    <w:uiPriority w:val="0"/>
    <w:pPr>
      <w:ind w:left="1470"/>
      <w:jc w:val="left"/>
    </w:pPr>
    <w:rPr>
      <w:sz w:val="18"/>
      <w:szCs w:val="18"/>
    </w:rPr>
  </w:style>
  <w:style w:type="paragraph" w:styleId="27">
    <w:name w:val="Date"/>
    <w:basedOn w:val="1"/>
    <w:next w:val="1"/>
    <w:link w:val="67"/>
    <w:qFormat/>
    <w:uiPriority w:val="0"/>
    <w:pPr>
      <w:ind w:left="100" w:leftChars="2500"/>
    </w:pPr>
    <w:rPr>
      <w:kern w:val="0"/>
      <w:sz w:val="20"/>
    </w:rPr>
  </w:style>
  <w:style w:type="paragraph" w:styleId="28">
    <w:name w:val="Body Text Indent 2"/>
    <w:basedOn w:val="1"/>
    <w:link w:val="109"/>
    <w:qFormat/>
    <w:uiPriority w:val="0"/>
    <w:pPr>
      <w:widowControl/>
      <w:tabs>
        <w:tab w:val="left" w:pos="0"/>
        <w:tab w:val="left" w:pos="993"/>
        <w:tab w:val="left" w:pos="1134"/>
      </w:tabs>
      <w:spacing w:line="500" w:lineRule="exact"/>
      <w:ind w:firstLine="851"/>
    </w:pPr>
    <w:rPr>
      <w:rFonts w:ascii="楷体_GB2312" w:eastAsia="楷体_GB2312"/>
      <w:b/>
      <w:spacing w:val="-24"/>
      <w:kern w:val="0"/>
      <w:sz w:val="28"/>
      <w:szCs w:val="20"/>
    </w:rPr>
  </w:style>
  <w:style w:type="paragraph" w:styleId="29">
    <w:name w:val="Balloon Text"/>
    <w:basedOn w:val="1"/>
    <w:link w:val="79"/>
    <w:qFormat/>
    <w:uiPriority w:val="0"/>
    <w:rPr>
      <w:kern w:val="0"/>
      <w:sz w:val="18"/>
      <w:szCs w:val="18"/>
    </w:rPr>
  </w:style>
  <w:style w:type="paragraph" w:styleId="30">
    <w:name w:val="footer"/>
    <w:basedOn w:val="1"/>
    <w:link w:val="104"/>
    <w:unhideWhenUsed/>
    <w:qFormat/>
    <w:uiPriority w:val="99"/>
    <w:pPr>
      <w:tabs>
        <w:tab w:val="center" w:pos="4153"/>
        <w:tab w:val="right" w:pos="8306"/>
      </w:tabs>
      <w:snapToGrid w:val="0"/>
      <w:jc w:val="left"/>
    </w:pPr>
    <w:rPr>
      <w:kern w:val="0"/>
      <w:sz w:val="18"/>
      <w:szCs w:val="18"/>
    </w:rPr>
  </w:style>
  <w:style w:type="paragraph" w:styleId="31">
    <w:name w:val="header"/>
    <w:basedOn w:val="1"/>
    <w:link w:val="114"/>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32">
    <w:name w:val="toc 1"/>
    <w:basedOn w:val="1"/>
    <w:next w:val="1"/>
    <w:qFormat/>
    <w:uiPriority w:val="0"/>
    <w:pPr>
      <w:tabs>
        <w:tab w:val="right" w:leader="dot" w:pos="9530"/>
      </w:tabs>
    </w:pPr>
    <w:rPr>
      <w:sz w:val="24"/>
    </w:rPr>
  </w:style>
  <w:style w:type="paragraph" w:styleId="33">
    <w:name w:val="toc 4"/>
    <w:basedOn w:val="1"/>
    <w:next w:val="1"/>
    <w:qFormat/>
    <w:uiPriority w:val="0"/>
    <w:pPr>
      <w:ind w:left="630"/>
      <w:jc w:val="left"/>
    </w:pPr>
    <w:rPr>
      <w:sz w:val="18"/>
      <w:szCs w:val="18"/>
    </w:rPr>
  </w:style>
  <w:style w:type="paragraph" w:styleId="34">
    <w:name w:val="Subtitle"/>
    <w:basedOn w:val="1"/>
    <w:next w:val="1"/>
    <w:link w:val="121"/>
    <w:qFormat/>
    <w:uiPriority w:val="0"/>
    <w:pPr>
      <w:spacing w:before="240" w:after="60" w:line="312" w:lineRule="auto"/>
      <w:jc w:val="center"/>
      <w:outlineLvl w:val="1"/>
    </w:pPr>
    <w:rPr>
      <w:rFonts w:ascii="Cambria" w:hAnsi="Cambria" w:eastAsia="Times New Roman"/>
      <w:b/>
      <w:bCs/>
      <w:kern w:val="28"/>
      <w:sz w:val="32"/>
      <w:szCs w:val="32"/>
    </w:rPr>
  </w:style>
  <w:style w:type="paragraph" w:styleId="35">
    <w:name w:val="List"/>
    <w:basedOn w:val="1"/>
    <w:qFormat/>
    <w:uiPriority w:val="0"/>
    <w:pPr>
      <w:ind w:left="200" w:hanging="200" w:hangingChars="200"/>
    </w:pPr>
  </w:style>
  <w:style w:type="paragraph" w:styleId="36">
    <w:name w:val="footnote text"/>
    <w:basedOn w:val="1"/>
    <w:next w:val="14"/>
    <w:qFormat/>
    <w:uiPriority w:val="0"/>
    <w:pPr>
      <w:adjustRightInd w:val="0"/>
      <w:spacing w:line="312" w:lineRule="atLeast"/>
      <w:jc w:val="left"/>
      <w:textAlignment w:val="baseline"/>
    </w:pPr>
    <w:rPr>
      <w:kern w:val="0"/>
      <w:sz w:val="18"/>
      <w:szCs w:val="20"/>
    </w:rPr>
  </w:style>
  <w:style w:type="paragraph" w:styleId="37">
    <w:name w:val="toc 6"/>
    <w:basedOn w:val="1"/>
    <w:next w:val="1"/>
    <w:qFormat/>
    <w:uiPriority w:val="0"/>
    <w:pPr>
      <w:ind w:left="1050"/>
      <w:jc w:val="left"/>
    </w:pPr>
    <w:rPr>
      <w:sz w:val="18"/>
      <w:szCs w:val="18"/>
    </w:rPr>
  </w:style>
  <w:style w:type="paragraph" w:styleId="38">
    <w:name w:val="Body Text Indent 3"/>
    <w:basedOn w:val="1"/>
    <w:link w:val="112"/>
    <w:qFormat/>
    <w:uiPriority w:val="0"/>
    <w:pPr>
      <w:spacing w:line="620" w:lineRule="exact"/>
      <w:ind w:firstLine="570"/>
    </w:pPr>
    <w:rPr>
      <w:rFonts w:ascii="宋体"/>
      <w:kern w:val="0"/>
      <w:sz w:val="24"/>
      <w:szCs w:val="20"/>
    </w:rPr>
  </w:style>
  <w:style w:type="paragraph" w:styleId="39">
    <w:name w:val="toc 2"/>
    <w:basedOn w:val="1"/>
    <w:next w:val="1"/>
    <w:qFormat/>
    <w:uiPriority w:val="0"/>
    <w:pPr>
      <w:tabs>
        <w:tab w:val="right" w:leader="dot" w:pos="9187"/>
      </w:tabs>
      <w:ind w:left="420" w:leftChars="200"/>
    </w:pPr>
    <w:rPr>
      <w:rFonts w:eastAsia="仿宋_GB2312"/>
      <w:sz w:val="28"/>
    </w:rPr>
  </w:style>
  <w:style w:type="paragraph" w:styleId="40">
    <w:name w:val="toc 9"/>
    <w:basedOn w:val="1"/>
    <w:next w:val="1"/>
    <w:qFormat/>
    <w:uiPriority w:val="0"/>
    <w:pPr>
      <w:ind w:left="1680"/>
      <w:jc w:val="left"/>
    </w:pPr>
    <w:rPr>
      <w:sz w:val="18"/>
      <w:szCs w:val="18"/>
    </w:rPr>
  </w:style>
  <w:style w:type="paragraph" w:styleId="41">
    <w:name w:val="Body Text 2"/>
    <w:basedOn w:val="1"/>
    <w:link w:val="105"/>
    <w:qFormat/>
    <w:uiPriority w:val="0"/>
    <w:pPr>
      <w:tabs>
        <w:tab w:val="left" w:pos="851"/>
      </w:tabs>
      <w:spacing w:line="320" w:lineRule="exact"/>
      <w:ind w:right="-108"/>
      <w:jc w:val="center"/>
    </w:pPr>
    <w:rPr>
      <w:kern w:val="0"/>
      <w:sz w:val="24"/>
      <w:szCs w:val="20"/>
    </w:rPr>
  </w:style>
  <w:style w:type="paragraph" w:styleId="42">
    <w:name w:val="HTML Preformatted"/>
    <w:basedOn w:val="1"/>
    <w:link w:val="7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rPr>
  </w:style>
  <w:style w:type="paragraph" w:styleId="43">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44">
    <w:name w:val="Title"/>
    <w:basedOn w:val="1"/>
    <w:next w:val="1"/>
    <w:link w:val="96"/>
    <w:qFormat/>
    <w:uiPriority w:val="0"/>
    <w:pPr>
      <w:numPr>
        <w:ilvl w:val="1"/>
        <w:numId w:val="1"/>
      </w:numPr>
      <w:tabs>
        <w:tab w:val="left" w:pos="1320"/>
      </w:tabs>
      <w:spacing w:before="240" w:after="60"/>
      <w:jc w:val="center"/>
      <w:outlineLvl w:val="0"/>
    </w:pPr>
    <w:rPr>
      <w:rFonts w:ascii="Cambria" w:hAnsi="Cambria"/>
      <w:b/>
      <w:bCs/>
      <w:sz w:val="32"/>
      <w:szCs w:val="32"/>
    </w:rPr>
  </w:style>
  <w:style w:type="paragraph" w:styleId="45">
    <w:name w:val="annotation subject"/>
    <w:basedOn w:val="17"/>
    <w:next w:val="17"/>
    <w:link w:val="63"/>
    <w:qFormat/>
    <w:uiPriority w:val="0"/>
    <w:rPr>
      <w:b/>
      <w:bCs/>
    </w:rPr>
  </w:style>
  <w:style w:type="paragraph" w:styleId="46">
    <w:name w:val="Body Text First Indent"/>
    <w:basedOn w:val="20"/>
    <w:link w:val="91"/>
    <w:qFormat/>
    <w:uiPriority w:val="0"/>
    <w:pPr>
      <w:spacing w:after="120" w:line="240" w:lineRule="auto"/>
      <w:ind w:firstLine="420" w:firstLineChars="100"/>
    </w:pPr>
    <w:rPr>
      <w:kern w:val="2"/>
      <w:sz w:val="21"/>
    </w:rPr>
  </w:style>
  <w:style w:type="table" w:styleId="48">
    <w:name w:val="Table Grid"/>
    <w:basedOn w:val="4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0">
    <w:name w:val="Strong"/>
    <w:autoRedefine/>
    <w:qFormat/>
    <w:uiPriority w:val="0"/>
    <w:rPr>
      <w:b/>
    </w:rPr>
  </w:style>
  <w:style w:type="character" w:styleId="51">
    <w:name w:val="page number"/>
    <w:basedOn w:val="49"/>
    <w:autoRedefine/>
    <w:qFormat/>
    <w:uiPriority w:val="0"/>
  </w:style>
  <w:style w:type="character" w:styleId="52">
    <w:name w:val="FollowedHyperlink"/>
    <w:autoRedefine/>
    <w:unhideWhenUsed/>
    <w:qFormat/>
    <w:uiPriority w:val="0"/>
    <w:rPr>
      <w:color w:val="800080"/>
      <w:u w:val="single"/>
    </w:rPr>
  </w:style>
  <w:style w:type="character" w:styleId="53">
    <w:name w:val="Emphasis"/>
    <w:autoRedefine/>
    <w:qFormat/>
    <w:uiPriority w:val="0"/>
    <w:rPr>
      <w:color w:val="CC0000"/>
    </w:rPr>
  </w:style>
  <w:style w:type="character" w:styleId="54">
    <w:name w:val="Hyperlink"/>
    <w:basedOn w:val="49"/>
    <w:autoRedefine/>
    <w:unhideWhenUsed/>
    <w:qFormat/>
    <w:uiPriority w:val="0"/>
    <w:rPr>
      <w:color w:val="0000FF"/>
      <w:u w:val="single"/>
    </w:rPr>
  </w:style>
  <w:style w:type="character" w:styleId="55">
    <w:name w:val="annotation reference"/>
    <w:autoRedefine/>
    <w:qFormat/>
    <w:uiPriority w:val="0"/>
    <w:rPr>
      <w:sz w:val="21"/>
      <w:szCs w:val="21"/>
    </w:rPr>
  </w:style>
  <w:style w:type="paragraph" w:customStyle="1" w:styleId="56">
    <w:name w:val="新正文"/>
    <w:basedOn w:val="1"/>
    <w:next w:val="1"/>
    <w:qFormat/>
    <w:uiPriority w:val="99"/>
    <w:pPr>
      <w:adjustRightInd w:val="0"/>
      <w:snapToGrid w:val="0"/>
      <w:spacing w:line="440" w:lineRule="atLeast"/>
    </w:pPr>
    <w:rPr>
      <w:rFonts w:ascii="宋体" w:hAnsi="宋体"/>
      <w:color w:val="000000"/>
      <w:sz w:val="24"/>
    </w:rPr>
  </w:style>
  <w:style w:type="paragraph" w:customStyle="1" w:styleId="57">
    <w:name w:val="目录 82"/>
    <w:next w:val="1"/>
    <w:qFormat/>
    <w:uiPriority w:val="0"/>
    <w:pPr>
      <w:wordWrap w:val="0"/>
      <w:ind w:left="2550"/>
      <w:jc w:val="both"/>
    </w:pPr>
    <w:rPr>
      <w:rFonts w:ascii="Times New Roman" w:hAnsi="Times New Roman" w:eastAsia="宋体" w:cs="Times New Roman"/>
      <w:sz w:val="21"/>
      <w:lang w:val="en-US" w:eastAsia="zh-CN" w:bidi="ar-SA"/>
    </w:rPr>
  </w:style>
  <w:style w:type="character" w:customStyle="1" w:styleId="58">
    <w:name w:val="称呼 Char1"/>
    <w:autoRedefine/>
    <w:semiHidden/>
    <w:qFormat/>
    <w:uiPriority w:val="99"/>
    <w:rPr>
      <w:rFonts w:ascii="Times New Roman" w:hAnsi="Times New Roman" w:eastAsia="宋体" w:cs="Times New Roman"/>
      <w:szCs w:val="24"/>
    </w:rPr>
  </w:style>
  <w:style w:type="character" w:customStyle="1" w:styleId="59">
    <w:name w:val="批注主题 Char1"/>
    <w:autoRedefine/>
    <w:semiHidden/>
    <w:qFormat/>
    <w:uiPriority w:val="99"/>
    <w:rPr>
      <w:rFonts w:ascii="Times New Roman" w:hAnsi="Times New Roman" w:eastAsia="宋体" w:cs="Times New Roman"/>
      <w:b/>
      <w:bCs/>
      <w:szCs w:val="24"/>
    </w:rPr>
  </w:style>
  <w:style w:type="character" w:customStyle="1" w:styleId="60">
    <w:name w:val="副标题 Char"/>
    <w:link w:val="61"/>
    <w:autoRedefine/>
    <w:qFormat/>
    <w:uiPriority w:val="0"/>
    <w:rPr>
      <w:rFonts w:ascii="Arial" w:hAnsi="Arial"/>
      <w:b/>
      <w:bCs/>
      <w:color w:val="000000"/>
      <w:kern w:val="44"/>
      <w:lang w:bidi="ar-SA"/>
    </w:rPr>
  </w:style>
  <w:style w:type="paragraph" w:customStyle="1" w:styleId="61">
    <w:name w:val="副标题1"/>
    <w:basedOn w:val="1"/>
    <w:next w:val="1"/>
    <w:link w:val="60"/>
    <w:autoRedefine/>
    <w:qFormat/>
    <w:uiPriority w:val="0"/>
    <w:pPr>
      <w:spacing w:before="120" w:after="120"/>
      <w:jc w:val="left"/>
    </w:pPr>
    <w:rPr>
      <w:rFonts w:ascii="Arial" w:hAnsi="Arial"/>
      <w:b/>
      <w:bCs/>
      <w:color w:val="000000"/>
      <w:kern w:val="44"/>
      <w:sz w:val="20"/>
      <w:szCs w:val="20"/>
    </w:rPr>
  </w:style>
  <w:style w:type="character" w:customStyle="1" w:styleId="62">
    <w:name w:val="newsbg1"/>
    <w:basedOn w:val="49"/>
    <w:autoRedefine/>
    <w:qFormat/>
    <w:uiPriority w:val="0"/>
  </w:style>
  <w:style w:type="character" w:customStyle="1" w:styleId="63">
    <w:name w:val="批注主题 字符"/>
    <w:link w:val="45"/>
    <w:autoRedefine/>
    <w:qFormat/>
    <w:uiPriority w:val="0"/>
    <w:rPr>
      <w:b/>
      <w:bCs/>
      <w:szCs w:val="24"/>
    </w:rPr>
  </w:style>
  <w:style w:type="character" w:customStyle="1" w:styleId="64">
    <w:name w:val="样式3 Char Char Char Char"/>
    <w:link w:val="65"/>
    <w:autoRedefine/>
    <w:qFormat/>
    <w:uiPriority w:val="0"/>
    <w:rPr>
      <w:rFonts w:eastAsia="黑体"/>
      <w:b/>
      <w:bCs/>
      <w:kern w:val="2"/>
      <w:sz w:val="32"/>
      <w:szCs w:val="32"/>
      <w:lang w:val="en-US" w:eastAsia="zh-CN" w:bidi="ar-SA"/>
    </w:rPr>
  </w:style>
  <w:style w:type="paragraph" w:customStyle="1" w:styleId="65">
    <w:name w:val="样式3 Char"/>
    <w:basedOn w:val="4"/>
    <w:next w:val="1"/>
    <w:link w:val="64"/>
    <w:autoRedefine/>
    <w:qFormat/>
    <w:uiPriority w:val="0"/>
    <w:pPr>
      <w:spacing w:line="240" w:lineRule="auto"/>
      <w:jc w:val="center"/>
    </w:pPr>
    <w:rPr>
      <w:rFonts w:eastAsia="黑体"/>
      <w:kern w:val="2"/>
    </w:rPr>
  </w:style>
  <w:style w:type="character" w:customStyle="1" w:styleId="66">
    <w:name w:val="textcontents"/>
    <w:basedOn w:val="49"/>
    <w:autoRedefine/>
    <w:qFormat/>
    <w:uiPriority w:val="0"/>
  </w:style>
  <w:style w:type="character" w:customStyle="1" w:styleId="67">
    <w:name w:val="日期 字符"/>
    <w:link w:val="27"/>
    <w:autoRedefine/>
    <w:qFormat/>
    <w:uiPriority w:val="0"/>
    <w:rPr>
      <w:szCs w:val="24"/>
    </w:rPr>
  </w:style>
  <w:style w:type="character" w:customStyle="1" w:styleId="68">
    <w:name w:val="标题5 Char Char"/>
    <w:link w:val="69"/>
    <w:autoRedefine/>
    <w:qFormat/>
    <w:locked/>
    <w:uiPriority w:val="0"/>
    <w:rPr>
      <w:rFonts w:ascii="Arial" w:hAnsi="Arial"/>
      <w:b/>
      <w:sz w:val="32"/>
      <w:lang w:bidi="ar-SA"/>
    </w:rPr>
  </w:style>
  <w:style w:type="paragraph" w:customStyle="1" w:styleId="69">
    <w:name w:val="标题5"/>
    <w:basedOn w:val="4"/>
    <w:link w:val="68"/>
    <w:autoRedefine/>
    <w:qFormat/>
    <w:uiPriority w:val="0"/>
    <w:pPr>
      <w:spacing w:line="413" w:lineRule="auto"/>
    </w:pPr>
    <w:rPr>
      <w:rFonts w:ascii="Arial" w:hAnsi="Arial"/>
      <w:bCs w:val="0"/>
      <w:szCs w:val="20"/>
    </w:rPr>
  </w:style>
  <w:style w:type="character" w:customStyle="1" w:styleId="70">
    <w:name w:val="标题 5 字符"/>
    <w:link w:val="6"/>
    <w:autoRedefine/>
    <w:qFormat/>
    <w:uiPriority w:val="0"/>
    <w:rPr>
      <w:sz w:val="28"/>
      <w:lang w:bidi="ar-SA"/>
    </w:rPr>
  </w:style>
  <w:style w:type="character" w:customStyle="1" w:styleId="71">
    <w:name w:val="HTML 预设格式 字符"/>
    <w:link w:val="42"/>
    <w:autoRedefine/>
    <w:qFormat/>
    <w:uiPriority w:val="0"/>
    <w:rPr>
      <w:rFonts w:ascii="Arial" w:hAnsi="Arial"/>
      <w:sz w:val="24"/>
      <w:szCs w:val="24"/>
      <w:lang w:bidi="ar-SA"/>
    </w:rPr>
  </w:style>
  <w:style w:type="character" w:customStyle="1" w:styleId="72">
    <w:name w:val="引用 字符"/>
    <w:link w:val="73"/>
    <w:autoRedefine/>
    <w:qFormat/>
    <w:locked/>
    <w:uiPriority w:val="0"/>
    <w:rPr>
      <w:i/>
      <w:color w:val="000000"/>
      <w:kern w:val="2"/>
      <w:sz w:val="22"/>
      <w:lang w:bidi="ar-SA"/>
    </w:rPr>
  </w:style>
  <w:style w:type="paragraph" w:styleId="73">
    <w:name w:val="Quote"/>
    <w:basedOn w:val="1"/>
    <w:next w:val="1"/>
    <w:link w:val="72"/>
    <w:autoRedefine/>
    <w:qFormat/>
    <w:uiPriority w:val="0"/>
    <w:rPr>
      <w:i/>
      <w:color w:val="000000"/>
      <w:sz w:val="22"/>
      <w:szCs w:val="20"/>
    </w:rPr>
  </w:style>
  <w:style w:type="character" w:customStyle="1" w:styleId="74">
    <w:name w:val="Char Char2"/>
    <w:autoRedefine/>
    <w:qFormat/>
    <w:uiPriority w:val="0"/>
    <w:rPr>
      <w:rFonts w:eastAsia="宋体"/>
      <w:sz w:val="24"/>
      <w:szCs w:val="24"/>
      <w:lang w:val="en-US" w:eastAsia="zh-CN" w:bidi="ar-SA"/>
    </w:rPr>
  </w:style>
  <w:style w:type="character" w:customStyle="1" w:styleId="75">
    <w:name w:val="标题 4 字符"/>
    <w:link w:val="5"/>
    <w:autoRedefine/>
    <w:qFormat/>
    <w:uiPriority w:val="0"/>
    <w:rPr>
      <w:rFonts w:ascii="Arial" w:hAnsi="Arial" w:eastAsia="黑体" w:cs="Times New Roman"/>
      <w:b/>
      <w:bCs/>
      <w:sz w:val="28"/>
      <w:szCs w:val="28"/>
    </w:rPr>
  </w:style>
  <w:style w:type="character" w:customStyle="1" w:styleId="76">
    <w:name w:val="正文缩进 Char1"/>
    <w:autoRedefine/>
    <w:qFormat/>
    <w:uiPriority w:val="0"/>
    <w:rPr>
      <w:rFonts w:eastAsia="宋体"/>
      <w:sz w:val="24"/>
      <w:szCs w:val="24"/>
      <w:lang w:val="en-US" w:eastAsia="zh-CN" w:bidi="ar-SA"/>
    </w:rPr>
  </w:style>
  <w:style w:type="character" w:customStyle="1" w:styleId="77">
    <w:name w:val="标题 2 字符"/>
    <w:link w:val="3"/>
    <w:autoRedefine/>
    <w:qFormat/>
    <w:uiPriority w:val="0"/>
    <w:rPr>
      <w:rFonts w:ascii="Arial" w:hAnsi="Arial" w:eastAsia="黑体" w:cs="Times New Roman"/>
      <w:b/>
      <w:bCs/>
      <w:sz w:val="32"/>
      <w:szCs w:val="32"/>
    </w:rPr>
  </w:style>
  <w:style w:type="character" w:customStyle="1" w:styleId="78">
    <w:name w:val="标题 9 字符"/>
    <w:link w:val="10"/>
    <w:autoRedefine/>
    <w:qFormat/>
    <w:uiPriority w:val="0"/>
    <w:rPr>
      <w:rFonts w:ascii="Arial" w:hAnsi="Arial" w:eastAsia="黑体" w:cs="Times New Roman"/>
      <w:szCs w:val="20"/>
    </w:rPr>
  </w:style>
  <w:style w:type="character" w:customStyle="1" w:styleId="79">
    <w:name w:val="批注框文本 字符"/>
    <w:link w:val="29"/>
    <w:autoRedefine/>
    <w:qFormat/>
    <w:uiPriority w:val="0"/>
    <w:rPr>
      <w:rFonts w:eastAsia="宋体"/>
      <w:sz w:val="18"/>
      <w:szCs w:val="18"/>
    </w:rPr>
  </w:style>
  <w:style w:type="character" w:customStyle="1" w:styleId="80">
    <w:name w:val="title2"/>
    <w:autoRedefine/>
    <w:qFormat/>
    <w:uiPriority w:val="0"/>
    <w:rPr>
      <w:rFonts w:hint="default" w:ascii="Arial" w:hAnsi="Arial"/>
      <w:b/>
      <w:color w:val="111111"/>
      <w:sz w:val="24"/>
      <w:u w:val="none"/>
    </w:rPr>
  </w:style>
  <w:style w:type="character" w:customStyle="1" w:styleId="81">
    <w:name w:val="称呼 字符"/>
    <w:link w:val="18"/>
    <w:autoRedefine/>
    <w:qFormat/>
    <w:uiPriority w:val="0"/>
    <w:rPr>
      <w:sz w:val="30"/>
    </w:rPr>
  </w:style>
  <w:style w:type="character" w:customStyle="1" w:styleId="82">
    <w:name w:val="正文文本缩进 3 Char1"/>
    <w:autoRedefine/>
    <w:semiHidden/>
    <w:qFormat/>
    <w:uiPriority w:val="99"/>
    <w:rPr>
      <w:rFonts w:ascii="Times New Roman" w:hAnsi="Times New Roman" w:eastAsia="宋体" w:cs="Times New Roman"/>
      <w:sz w:val="16"/>
      <w:szCs w:val="16"/>
    </w:rPr>
  </w:style>
  <w:style w:type="character" w:customStyle="1" w:styleId="83">
    <w:name w:val="样式 标题 3h3section:3Level 3 HeadH3level_3PIM 33rd level3H... Char Char"/>
    <w:link w:val="84"/>
    <w:autoRedefine/>
    <w:qFormat/>
    <w:uiPriority w:val="0"/>
    <w:rPr>
      <w:rFonts w:ascii="Arial" w:hAnsi="Arial" w:eastAsia="宋体"/>
      <w:b/>
      <w:sz w:val="24"/>
      <w:szCs w:val="28"/>
    </w:rPr>
  </w:style>
  <w:style w:type="paragraph" w:customStyle="1" w:styleId="84">
    <w:name w:val="样式 标题 3h3section:3Level 3 HeadH3level_3PIM 33rd level3H..."/>
    <w:basedOn w:val="4"/>
    <w:link w:val="83"/>
    <w:autoRedefine/>
    <w:qFormat/>
    <w:uiPriority w:val="0"/>
    <w:pPr>
      <w:numPr>
        <w:ilvl w:val="3"/>
        <w:numId w:val="2"/>
      </w:numPr>
      <w:tabs>
        <w:tab w:val="left" w:pos="1680"/>
      </w:tabs>
      <w:adjustRightInd w:val="0"/>
      <w:spacing w:line="416" w:lineRule="atLeast"/>
      <w:textAlignment w:val="baseline"/>
    </w:pPr>
    <w:rPr>
      <w:rFonts w:ascii="Arial" w:hAnsi="Arial"/>
      <w:bCs w:val="0"/>
      <w:sz w:val="24"/>
      <w:szCs w:val="28"/>
    </w:rPr>
  </w:style>
  <w:style w:type="character" w:customStyle="1" w:styleId="85">
    <w:name w:val="Variable"/>
    <w:autoRedefine/>
    <w:qFormat/>
    <w:uiPriority w:val="0"/>
    <w:rPr>
      <w:i/>
    </w:rPr>
  </w:style>
  <w:style w:type="character" w:customStyle="1" w:styleId="86">
    <w:name w:val="正文文本 2 Char1"/>
    <w:autoRedefine/>
    <w:semiHidden/>
    <w:qFormat/>
    <w:uiPriority w:val="99"/>
    <w:rPr>
      <w:rFonts w:ascii="Times New Roman" w:hAnsi="Times New Roman" w:eastAsia="宋体" w:cs="Times New Roman"/>
      <w:szCs w:val="24"/>
    </w:rPr>
  </w:style>
  <w:style w:type="character" w:customStyle="1" w:styleId="87">
    <w:name w:val="apple-converted-space"/>
    <w:basedOn w:val="49"/>
    <w:autoRedefine/>
    <w:qFormat/>
    <w:uiPriority w:val="0"/>
  </w:style>
  <w:style w:type="character" w:customStyle="1" w:styleId="88">
    <w:name w:val="批注框文本 Char1"/>
    <w:autoRedefine/>
    <w:semiHidden/>
    <w:qFormat/>
    <w:uiPriority w:val="99"/>
    <w:rPr>
      <w:rFonts w:ascii="Times New Roman" w:hAnsi="Times New Roman" w:eastAsia="宋体" w:cs="Times New Roman"/>
      <w:sz w:val="18"/>
      <w:szCs w:val="18"/>
    </w:rPr>
  </w:style>
  <w:style w:type="character" w:customStyle="1" w:styleId="89">
    <w:name w:val="纯文本 Char1"/>
    <w:autoRedefine/>
    <w:semiHidden/>
    <w:qFormat/>
    <w:uiPriority w:val="99"/>
    <w:rPr>
      <w:rFonts w:ascii="宋体" w:hAnsi="Courier New" w:eastAsia="宋体" w:cs="Courier New"/>
      <w:szCs w:val="21"/>
    </w:rPr>
  </w:style>
  <w:style w:type="character" w:customStyle="1" w:styleId="90">
    <w:name w:val="文档结构图 字符"/>
    <w:link w:val="15"/>
    <w:autoRedefine/>
    <w:qFormat/>
    <w:uiPriority w:val="0"/>
    <w:rPr>
      <w:rFonts w:eastAsia="宋体"/>
      <w:szCs w:val="24"/>
      <w:shd w:val="clear" w:color="auto" w:fill="000080"/>
    </w:rPr>
  </w:style>
  <w:style w:type="character" w:customStyle="1" w:styleId="91">
    <w:name w:val="正文首行缩进 字符"/>
    <w:link w:val="46"/>
    <w:autoRedefine/>
    <w:qFormat/>
    <w:uiPriority w:val="0"/>
    <w:rPr>
      <w:rFonts w:eastAsia="仿宋_GB2312"/>
      <w:kern w:val="2"/>
      <w:sz w:val="21"/>
      <w:szCs w:val="24"/>
      <w:lang w:val="en-US" w:eastAsia="zh-CN" w:bidi="ar-SA"/>
    </w:rPr>
  </w:style>
  <w:style w:type="character" w:customStyle="1" w:styleId="92">
    <w:name w:val="正文（首行缩进两字） Char Char Char Char Char Char Char Char Char Char Char Char Char Char Char Char Char Char Char Char Char Char Char Char Char Char Char Char Char Char Char Char Char Char Char Char Char Char Char Char Char Char Char Char Char Char"/>
    <w:autoRedefine/>
    <w:qFormat/>
    <w:uiPriority w:val="0"/>
    <w:rPr>
      <w:rFonts w:eastAsia="宋体"/>
      <w:sz w:val="24"/>
      <w:szCs w:val="24"/>
      <w:lang w:val="en-US" w:eastAsia="zh-CN" w:bidi="ar-SA"/>
    </w:rPr>
  </w:style>
  <w:style w:type="character" w:customStyle="1" w:styleId="93">
    <w:name w:val="明显引用 字符"/>
    <w:link w:val="94"/>
    <w:autoRedefine/>
    <w:qFormat/>
    <w:locked/>
    <w:uiPriority w:val="0"/>
    <w:rPr>
      <w:b/>
      <w:i/>
      <w:color w:val="4F81BD"/>
      <w:kern w:val="2"/>
      <w:sz w:val="22"/>
      <w:lang w:bidi="ar-SA"/>
    </w:rPr>
  </w:style>
  <w:style w:type="paragraph" w:styleId="94">
    <w:name w:val="Intense Quote"/>
    <w:basedOn w:val="1"/>
    <w:next w:val="1"/>
    <w:link w:val="93"/>
    <w:autoRedefine/>
    <w:qFormat/>
    <w:uiPriority w:val="0"/>
    <w:pPr>
      <w:pBdr>
        <w:bottom w:val="single" w:color="4F81BD" w:sz="4" w:space="4"/>
      </w:pBdr>
      <w:spacing w:before="200" w:after="280"/>
      <w:ind w:left="936" w:right="936"/>
    </w:pPr>
    <w:rPr>
      <w:b/>
      <w:i/>
      <w:color w:val="4F81BD"/>
      <w:sz w:val="22"/>
      <w:szCs w:val="20"/>
    </w:rPr>
  </w:style>
  <w:style w:type="character" w:customStyle="1" w:styleId="95">
    <w:name w:val="纯文本 字符"/>
    <w:link w:val="25"/>
    <w:autoRedefine/>
    <w:qFormat/>
    <w:uiPriority w:val="0"/>
    <w:rPr>
      <w:rFonts w:ascii="宋体" w:hAnsi="Courier New" w:cs="Courier New"/>
      <w:szCs w:val="21"/>
    </w:rPr>
  </w:style>
  <w:style w:type="character" w:customStyle="1" w:styleId="96">
    <w:name w:val="标题 字符"/>
    <w:link w:val="44"/>
    <w:autoRedefine/>
    <w:qFormat/>
    <w:uiPriority w:val="0"/>
    <w:rPr>
      <w:rFonts w:ascii="Cambria" w:hAnsi="Cambria"/>
      <w:b/>
      <w:bCs/>
      <w:kern w:val="2"/>
      <w:sz w:val="32"/>
      <w:szCs w:val="32"/>
      <w:lang w:bidi="ar-SA"/>
    </w:rPr>
  </w:style>
  <w:style w:type="character" w:customStyle="1" w:styleId="97">
    <w:name w:val="标题 1 字符"/>
    <w:link w:val="2"/>
    <w:autoRedefine/>
    <w:qFormat/>
    <w:uiPriority w:val="0"/>
    <w:rPr>
      <w:rFonts w:ascii="Times New Roman" w:hAnsi="Times New Roman" w:eastAsia="宋体" w:cs="Times New Roman"/>
      <w:b/>
      <w:bCs/>
      <w:kern w:val="44"/>
      <w:sz w:val="44"/>
      <w:szCs w:val="44"/>
    </w:rPr>
  </w:style>
  <w:style w:type="character" w:customStyle="1" w:styleId="98">
    <w:name w:val="正文文本 3 Char1"/>
    <w:autoRedefine/>
    <w:semiHidden/>
    <w:qFormat/>
    <w:uiPriority w:val="99"/>
    <w:rPr>
      <w:rFonts w:ascii="Times New Roman" w:hAnsi="Times New Roman" w:eastAsia="宋体" w:cs="Times New Roman"/>
      <w:sz w:val="16"/>
      <w:szCs w:val="16"/>
    </w:rPr>
  </w:style>
  <w:style w:type="character" w:customStyle="1" w:styleId="99">
    <w:name w:val="正文文本缩进 2 Char1"/>
    <w:autoRedefine/>
    <w:semiHidden/>
    <w:qFormat/>
    <w:uiPriority w:val="99"/>
    <w:rPr>
      <w:rFonts w:ascii="Times New Roman" w:hAnsi="Times New Roman" w:eastAsia="宋体" w:cs="Times New Roman"/>
      <w:szCs w:val="24"/>
    </w:rPr>
  </w:style>
  <w:style w:type="character" w:customStyle="1" w:styleId="100">
    <w:name w:val="正文文本缩进 Char1"/>
    <w:autoRedefine/>
    <w:semiHidden/>
    <w:qFormat/>
    <w:uiPriority w:val="99"/>
    <w:rPr>
      <w:rFonts w:ascii="Times New Roman" w:hAnsi="Times New Roman" w:eastAsia="宋体" w:cs="Times New Roman"/>
      <w:szCs w:val="24"/>
    </w:rPr>
  </w:style>
  <w:style w:type="character" w:customStyle="1" w:styleId="101">
    <w:name w:val="bigfont"/>
    <w:basedOn w:val="49"/>
    <w:autoRedefine/>
    <w:qFormat/>
    <w:uiPriority w:val="0"/>
  </w:style>
  <w:style w:type="character" w:customStyle="1" w:styleId="102">
    <w:name w:val="正文文本 Char1"/>
    <w:autoRedefine/>
    <w:qFormat/>
    <w:uiPriority w:val="0"/>
    <w:rPr>
      <w:rFonts w:ascii="Times New Roman" w:hAnsi="Times New Roman" w:eastAsia="宋体" w:cs="Times New Roman"/>
      <w:szCs w:val="24"/>
    </w:rPr>
  </w:style>
  <w:style w:type="character" w:customStyle="1" w:styleId="103">
    <w:name w:val="正文文本 字符"/>
    <w:link w:val="20"/>
    <w:autoRedefine/>
    <w:qFormat/>
    <w:uiPriority w:val="0"/>
    <w:rPr>
      <w:rFonts w:eastAsia="仿宋_GB2312"/>
      <w:sz w:val="23"/>
      <w:szCs w:val="24"/>
    </w:rPr>
  </w:style>
  <w:style w:type="character" w:customStyle="1" w:styleId="104">
    <w:name w:val="页脚 字符"/>
    <w:link w:val="30"/>
    <w:autoRedefine/>
    <w:qFormat/>
    <w:uiPriority w:val="99"/>
    <w:rPr>
      <w:sz w:val="18"/>
      <w:szCs w:val="18"/>
    </w:rPr>
  </w:style>
  <w:style w:type="character" w:customStyle="1" w:styleId="105">
    <w:name w:val="正文文本 2 字符"/>
    <w:link w:val="41"/>
    <w:autoRedefine/>
    <w:qFormat/>
    <w:uiPriority w:val="0"/>
    <w:rPr>
      <w:sz w:val="24"/>
    </w:rPr>
  </w:style>
  <w:style w:type="character" w:customStyle="1" w:styleId="106">
    <w:name w:val="正文缩进 字符"/>
    <w:link w:val="12"/>
    <w:autoRedefine/>
    <w:qFormat/>
    <w:uiPriority w:val="0"/>
    <w:rPr>
      <w:rFonts w:eastAsia="宋体"/>
      <w:sz w:val="24"/>
      <w:szCs w:val="24"/>
    </w:rPr>
  </w:style>
  <w:style w:type="character" w:customStyle="1" w:styleId="107">
    <w:name w:val="文档结构图 Char1"/>
    <w:autoRedefine/>
    <w:qFormat/>
    <w:uiPriority w:val="0"/>
    <w:rPr>
      <w:rFonts w:ascii="宋体"/>
      <w:kern w:val="2"/>
      <w:sz w:val="18"/>
      <w:szCs w:val="18"/>
    </w:rPr>
  </w:style>
  <w:style w:type="character" w:customStyle="1" w:styleId="108">
    <w:name w:val="标题 7 字符"/>
    <w:link w:val="8"/>
    <w:autoRedefine/>
    <w:qFormat/>
    <w:uiPriority w:val="0"/>
    <w:rPr>
      <w:rFonts w:ascii="Times New Roman" w:hAnsi="Times New Roman" w:eastAsia="宋体" w:cs="Times New Roman"/>
      <w:b/>
      <w:sz w:val="24"/>
      <w:szCs w:val="20"/>
    </w:rPr>
  </w:style>
  <w:style w:type="character" w:customStyle="1" w:styleId="109">
    <w:name w:val="正文文本缩进 2 字符"/>
    <w:link w:val="28"/>
    <w:autoRedefine/>
    <w:qFormat/>
    <w:uiPriority w:val="0"/>
    <w:rPr>
      <w:rFonts w:ascii="楷体_GB2312" w:eastAsia="楷体_GB2312"/>
      <w:b/>
      <w:spacing w:val="-24"/>
      <w:sz w:val="28"/>
    </w:rPr>
  </w:style>
  <w:style w:type="character" w:customStyle="1" w:styleId="110">
    <w:name w:val="正文文本 3 字符"/>
    <w:link w:val="19"/>
    <w:autoRedefine/>
    <w:qFormat/>
    <w:uiPriority w:val="0"/>
    <w:rPr>
      <w:color w:val="000000"/>
      <w:sz w:val="24"/>
    </w:rPr>
  </w:style>
  <w:style w:type="character" w:customStyle="1" w:styleId="111">
    <w:name w:val="日期 Char1"/>
    <w:autoRedefine/>
    <w:semiHidden/>
    <w:qFormat/>
    <w:uiPriority w:val="99"/>
    <w:rPr>
      <w:rFonts w:ascii="Times New Roman" w:hAnsi="Times New Roman" w:eastAsia="宋体" w:cs="Times New Roman"/>
      <w:szCs w:val="24"/>
    </w:rPr>
  </w:style>
  <w:style w:type="character" w:customStyle="1" w:styleId="112">
    <w:name w:val="正文文本缩进 3 字符"/>
    <w:link w:val="38"/>
    <w:qFormat/>
    <w:uiPriority w:val="0"/>
    <w:rPr>
      <w:rFonts w:ascii="宋体"/>
      <w:sz w:val="24"/>
    </w:rPr>
  </w:style>
  <w:style w:type="character" w:customStyle="1" w:styleId="113">
    <w:name w:val="批注文字 Char1"/>
    <w:semiHidden/>
    <w:qFormat/>
    <w:uiPriority w:val="99"/>
    <w:rPr>
      <w:rFonts w:ascii="Times New Roman" w:hAnsi="Times New Roman" w:eastAsia="宋体" w:cs="Times New Roman"/>
      <w:szCs w:val="24"/>
    </w:rPr>
  </w:style>
  <w:style w:type="character" w:customStyle="1" w:styleId="114">
    <w:name w:val="页眉 字符"/>
    <w:link w:val="31"/>
    <w:qFormat/>
    <w:uiPriority w:val="0"/>
    <w:rPr>
      <w:sz w:val="18"/>
      <w:szCs w:val="18"/>
    </w:rPr>
  </w:style>
  <w:style w:type="character" w:customStyle="1" w:styleId="115">
    <w:name w:val="文档结构图 Char2"/>
    <w:semiHidden/>
    <w:qFormat/>
    <w:uiPriority w:val="99"/>
    <w:rPr>
      <w:rFonts w:ascii="宋体" w:hAnsi="Times New Roman" w:eastAsia="宋体" w:cs="Times New Roman"/>
      <w:sz w:val="18"/>
      <w:szCs w:val="18"/>
    </w:rPr>
  </w:style>
  <w:style w:type="character" w:customStyle="1" w:styleId="116">
    <w:name w:val="标题 6 字符"/>
    <w:link w:val="7"/>
    <w:qFormat/>
    <w:uiPriority w:val="0"/>
    <w:rPr>
      <w:rFonts w:ascii="Arial" w:hAnsi="Arial" w:eastAsia="黑体" w:cs="Times New Roman"/>
      <w:b/>
      <w:sz w:val="24"/>
      <w:szCs w:val="20"/>
    </w:rPr>
  </w:style>
  <w:style w:type="character" w:customStyle="1" w:styleId="117">
    <w:name w:val="批注文字 字符"/>
    <w:link w:val="17"/>
    <w:qFormat/>
    <w:uiPriority w:val="0"/>
    <w:rPr>
      <w:szCs w:val="24"/>
    </w:rPr>
  </w:style>
  <w:style w:type="character" w:customStyle="1" w:styleId="118">
    <w:name w:val="标题 3 字符"/>
    <w:link w:val="4"/>
    <w:qFormat/>
    <w:uiPriority w:val="0"/>
    <w:rPr>
      <w:rFonts w:ascii="Times New Roman" w:hAnsi="Times New Roman" w:eastAsia="宋体" w:cs="Times New Roman"/>
      <w:b/>
      <w:bCs/>
      <w:sz w:val="32"/>
      <w:szCs w:val="32"/>
    </w:rPr>
  </w:style>
  <w:style w:type="character" w:customStyle="1" w:styleId="119">
    <w:name w:val="正文文本缩进 字符"/>
    <w:link w:val="21"/>
    <w:qFormat/>
    <w:uiPriority w:val="0"/>
    <w:rPr>
      <w:rFonts w:eastAsia="仿宋_GB2312"/>
      <w:sz w:val="25"/>
      <w:szCs w:val="24"/>
    </w:rPr>
  </w:style>
  <w:style w:type="character" w:customStyle="1" w:styleId="120">
    <w:name w:val="tt21"/>
    <w:qFormat/>
    <w:uiPriority w:val="0"/>
    <w:rPr>
      <w:rFonts w:ascii="宋体" w:hAnsi="宋体"/>
      <w:b/>
      <w:bCs/>
      <w:sz w:val="32"/>
      <w:szCs w:val="18"/>
    </w:rPr>
  </w:style>
  <w:style w:type="character" w:customStyle="1" w:styleId="121">
    <w:name w:val="副标题 字符"/>
    <w:basedOn w:val="49"/>
    <w:link w:val="34"/>
    <w:qFormat/>
    <w:uiPriority w:val="0"/>
    <w:rPr>
      <w:rFonts w:ascii="Cambria" w:hAnsi="Cambria"/>
      <w:b/>
      <w:bCs/>
      <w:kern w:val="28"/>
      <w:sz w:val="32"/>
      <w:szCs w:val="32"/>
      <w:lang w:bidi="ar-SA"/>
    </w:rPr>
  </w:style>
  <w:style w:type="character" w:customStyle="1" w:styleId="122">
    <w:name w:val="标题 8 字符"/>
    <w:link w:val="9"/>
    <w:qFormat/>
    <w:uiPriority w:val="0"/>
    <w:rPr>
      <w:rFonts w:ascii="Arial" w:hAnsi="Arial" w:eastAsia="黑体" w:cs="Times New Roman"/>
      <w:sz w:val="24"/>
      <w:szCs w:val="20"/>
    </w:rPr>
  </w:style>
  <w:style w:type="paragraph" w:customStyle="1" w:styleId="123">
    <w:name w:val="样式2"/>
    <w:basedOn w:val="3"/>
    <w:next w:val="1"/>
    <w:qFormat/>
    <w:uiPriority w:val="0"/>
    <w:pPr>
      <w:spacing w:line="240" w:lineRule="auto"/>
      <w:jc w:val="center"/>
    </w:pPr>
    <w:rPr>
      <w:sz w:val="36"/>
    </w:rPr>
  </w:style>
  <w:style w:type="paragraph" w:customStyle="1" w:styleId="124">
    <w:name w:val="样式7"/>
    <w:basedOn w:val="32"/>
    <w:next w:val="1"/>
    <w:qFormat/>
    <w:uiPriority w:val="0"/>
    <w:pPr>
      <w:tabs>
        <w:tab w:val="right" w:leader="dot" w:pos="9200"/>
      </w:tabs>
    </w:pPr>
    <w:rPr>
      <w:rFonts w:eastAsia="仿宋_GB2312"/>
      <w:sz w:val="28"/>
      <w:szCs w:val="21"/>
    </w:rPr>
  </w:style>
  <w:style w:type="paragraph" w:customStyle="1" w:styleId="125">
    <w:name w:val="Heading 71"/>
    <w:basedOn w:val="1"/>
    <w:qFormat/>
    <w:uiPriority w:val="0"/>
    <w:pPr>
      <w:jc w:val="left"/>
      <w:outlineLvl w:val="7"/>
    </w:pPr>
    <w:rPr>
      <w:rFonts w:ascii="宋体" w:hAnsi="宋体" w:cs="宋体"/>
      <w:kern w:val="0"/>
      <w:sz w:val="28"/>
      <w:szCs w:val="28"/>
      <w:lang w:eastAsia="en-US"/>
    </w:rPr>
  </w:style>
  <w:style w:type="paragraph" w:customStyle="1" w:styleId="126">
    <w:name w:val="Char Char Char Char Char Char Char Char Char Char Char Char Char"/>
    <w:basedOn w:val="1"/>
    <w:qFormat/>
    <w:uiPriority w:val="0"/>
    <w:pPr>
      <w:tabs>
        <w:tab w:val="left" w:pos="420"/>
      </w:tabs>
      <w:ind w:left="420" w:hanging="420"/>
    </w:pPr>
    <w:rPr>
      <w:rFonts w:ascii="Tahoma" w:hAnsi="Tahoma"/>
      <w:sz w:val="24"/>
      <w:szCs w:val="20"/>
    </w:rPr>
  </w:style>
  <w:style w:type="paragraph" w:customStyle="1" w:styleId="127">
    <w:name w:val="五号正文（标准）"/>
    <w:basedOn w:val="1"/>
    <w:qFormat/>
    <w:uiPriority w:val="0"/>
    <w:pPr>
      <w:spacing w:line="360" w:lineRule="auto"/>
      <w:ind w:firstLine="600" w:firstLineChars="200"/>
    </w:pPr>
    <w:rPr>
      <w:rFonts w:ascii="仿宋_GB2312" w:hAnsi="宋体" w:eastAsia="仿宋_GB2312"/>
      <w:b/>
      <w:sz w:val="30"/>
      <w:szCs w:val="20"/>
    </w:rPr>
  </w:style>
  <w:style w:type="paragraph" w:customStyle="1" w:styleId="128">
    <w:name w:val="样式6"/>
    <w:basedOn w:val="32"/>
    <w:next w:val="1"/>
    <w:qFormat/>
    <w:uiPriority w:val="0"/>
    <w:pPr>
      <w:tabs>
        <w:tab w:val="right" w:leader="dot" w:pos="9200"/>
      </w:tabs>
    </w:pPr>
    <w:rPr>
      <w:rFonts w:eastAsia="仿宋_GB2312"/>
      <w:sz w:val="28"/>
      <w:szCs w:val="21"/>
    </w:rPr>
  </w:style>
  <w:style w:type="paragraph" w:customStyle="1" w:styleId="129">
    <w:name w:val="样式 (中文) 黑体 小二 加粗 居中 行距: 1.5 倍行距"/>
    <w:basedOn w:val="2"/>
    <w:qFormat/>
    <w:uiPriority w:val="0"/>
    <w:pPr>
      <w:spacing w:line="240" w:lineRule="auto"/>
      <w:jc w:val="center"/>
    </w:pPr>
    <w:rPr>
      <w:rFonts w:eastAsia="黑体" w:cs="宋体"/>
      <w:b w:val="0"/>
      <w:bCs w:val="0"/>
      <w:spacing w:val="60"/>
      <w:sz w:val="36"/>
      <w:szCs w:val="20"/>
    </w:rPr>
  </w:style>
  <w:style w:type="paragraph" w:customStyle="1" w:styleId="130">
    <w:name w:val="样式8"/>
    <w:basedOn w:val="123"/>
    <w:autoRedefine/>
    <w:qFormat/>
    <w:uiPriority w:val="0"/>
    <w:rPr>
      <w:sz w:val="72"/>
    </w:rPr>
  </w:style>
  <w:style w:type="paragraph" w:customStyle="1" w:styleId="131">
    <w:name w:val="_Style 10"/>
    <w:basedOn w:val="1"/>
    <w:autoRedefine/>
    <w:qFormat/>
    <w:uiPriority w:val="0"/>
    <w:pPr>
      <w:widowControl/>
      <w:spacing w:line="400" w:lineRule="exact"/>
      <w:jc w:val="center"/>
    </w:pPr>
  </w:style>
  <w:style w:type="paragraph" w:customStyle="1" w:styleId="132">
    <w:name w:val="_Style 7"/>
    <w:basedOn w:val="1"/>
    <w:next w:val="1"/>
    <w:autoRedefine/>
    <w:qFormat/>
    <w:uiPriority w:val="0"/>
    <w:pPr>
      <w:widowControl/>
      <w:spacing w:after="160" w:line="240" w:lineRule="exact"/>
      <w:jc w:val="left"/>
    </w:pPr>
  </w:style>
  <w:style w:type="paragraph" w:customStyle="1" w:styleId="133">
    <w:name w:val="Char"/>
    <w:basedOn w:val="1"/>
    <w:autoRedefine/>
    <w:qFormat/>
    <w:uiPriority w:val="0"/>
  </w:style>
  <w:style w:type="paragraph" w:customStyle="1" w:styleId="134">
    <w:name w:val="prodsubtitle"/>
    <w:basedOn w:val="1"/>
    <w:autoRedefine/>
    <w:qFormat/>
    <w:uiPriority w:val="0"/>
    <w:pPr>
      <w:widowControl/>
      <w:jc w:val="left"/>
    </w:pPr>
    <w:rPr>
      <w:rFonts w:ascii="宋体" w:hAnsi="宋体" w:cs="宋体"/>
      <w:kern w:val="0"/>
      <w:sz w:val="24"/>
    </w:rPr>
  </w:style>
  <w:style w:type="paragraph" w:customStyle="1" w:styleId="135">
    <w:name w:val="_Style 17"/>
    <w:basedOn w:val="1"/>
    <w:autoRedefine/>
    <w:qFormat/>
    <w:uiPriority w:val="0"/>
    <w:pPr>
      <w:widowControl/>
      <w:spacing w:line="400" w:lineRule="exact"/>
      <w:jc w:val="center"/>
    </w:pPr>
  </w:style>
  <w:style w:type="paragraph" w:customStyle="1" w:styleId="136">
    <w:name w:val="p0"/>
    <w:basedOn w:val="1"/>
    <w:autoRedefine/>
    <w:qFormat/>
    <w:uiPriority w:val="0"/>
    <w:pPr>
      <w:widowControl/>
    </w:pPr>
    <w:rPr>
      <w:kern w:val="0"/>
      <w:szCs w:val="21"/>
    </w:rPr>
  </w:style>
  <w:style w:type="paragraph" w:customStyle="1" w:styleId="137">
    <w:name w:val="Heading 41"/>
    <w:basedOn w:val="1"/>
    <w:autoRedefine/>
    <w:qFormat/>
    <w:uiPriority w:val="0"/>
    <w:pPr>
      <w:jc w:val="left"/>
      <w:outlineLvl w:val="4"/>
    </w:pPr>
    <w:rPr>
      <w:rFonts w:ascii="宋体" w:hAnsi="宋体" w:cs="宋体"/>
      <w:kern w:val="0"/>
      <w:sz w:val="32"/>
      <w:szCs w:val="32"/>
      <w:lang w:eastAsia="en-US"/>
    </w:rPr>
  </w:style>
  <w:style w:type="paragraph" w:customStyle="1" w:styleId="138">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39">
    <w:name w:val="Char1"/>
    <w:basedOn w:val="1"/>
    <w:autoRedefine/>
    <w:qFormat/>
    <w:uiPriority w:val="0"/>
    <w:rPr>
      <w:rFonts w:ascii="Tahoma" w:hAnsi="Tahoma"/>
      <w:sz w:val="24"/>
      <w:szCs w:val="20"/>
    </w:rPr>
  </w:style>
  <w:style w:type="paragraph" w:customStyle="1" w:styleId="140">
    <w:name w:val="样式 (中文) 黑体 小三 加粗 居中 行距: 1.5 倍行距"/>
    <w:basedOn w:val="1"/>
    <w:next w:val="1"/>
    <w:autoRedefine/>
    <w:qFormat/>
    <w:uiPriority w:val="0"/>
    <w:pPr>
      <w:spacing w:line="360" w:lineRule="auto"/>
      <w:jc w:val="center"/>
    </w:pPr>
    <w:rPr>
      <w:rFonts w:eastAsia="黑体" w:cs="宋体"/>
      <w:b/>
      <w:bCs/>
      <w:sz w:val="30"/>
      <w:szCs w:val="20"/>
    </w:rPr>
  </w:style>
  <w:style w:type="paragraph" w:customStyle="1" w:styleId="141">
    <w:name w:val="31a（正文）章标题"/>
    <w:autoRedefine/>
    <w:qFormat/>
    <w:uiPriority w:val="0"/>
    <w:pPr>
      <w:adjustRightInd w:val="0"/>
      <w:snapToGrid w:val="0"/>
      <w:spacing w:beforeLines="50" w:afterLines="50"/>
      <w:ind w:firstLine="315" w:firstLineChars="150"/>
      <w:jc w:val="both"/>
      <w:outlineLvl w:val="0"/>
    </w:pPr>
    <w:rPr>
      <w:rFonts w:ascii="楷体_GB2312" w:hAnsi="仿宋_GB2312" w:eastAsia="宋体" w:cs="Times New Roman"/>
      <w:sz w:val="21"/>
      <w:lang w:val="en-US" w:eastAsia="zh-CN" w:bidi="ar-SA"/>
    </w:rPr>
  </w:style>
  <w:style w:type="paragraph" w:customStyle="1" w:styleId="142">
    <w:name w:val="默认段落字体 Para Char Char Char Char"/>
    <w:basedOn w:val="1"/>
    <w:autoRedefine/>
    <w:qFormat/>
    <w:uiPriority w:val="0"/>
  </w:style>
  <w:style w:type="paragraph" w:customStyle="1" w:styleId="143">
    <w:name w:val="fontsize"/>
    <w:basedOn w:val="1"/>
    <w:autoRedefine/>
    <w:qFormat/>
    <w:uiPriority w:val="0"/>
    <w:pPr>
      <w:widowControl/>
      <w:spacing w:before="100" w:beforeAutospacing="1" w:after="100" w:afterAutospacing="1"/>
      <w:ind w:firstLine="180"/>
      <w:jc w:val="left"/>
    </w:pPr>
    <w:rPr>
      <w:rFonts w:ascii="Arial Unicode MS" w:hAnsi="Arial Unicode MS" w:eastAsia="Arial Unicode MS"/>
      <w:color w:val="000000"/>
      <w:spacing w:val="20"/>
      <w:kern w:val="0"/>
      <w:sz w:val="24"/>
      <w:szCs w:val="20"/>
      <w:vertAlign w:val="subscript"/>
    </w:rPr>
  </w:style>
  <w:style w:type="paragraph" w:customStyle="1" w:styleId="144">
    <w:name w:val="style1"/>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145">
    <w:name w:val="List Paragraph1"/>
    <w:basedOn w:val="1"/>
    <w:autoRedefine/>
    <w:qFormat/>
    <w:uiPriority w:val="99"/>
    <w:pPr>
      <w:ind w:firstLine="420" w:firstLineChars="200"/>
    </w:pPr>
    <w:rPr>
      <w:rFonts w:ascii="Calibri" w:hAnsi="Calibri"/>
      <w:szCs w:val="22"/>
    </w:rPr>
  </w:style>
  <w:style w:type="paragraph" w:customStyle="1" w:styleId="146">
    <w:name w:val="Char Char Char Char1"/>
    <w:basedOn w:val="1"/>
    <w:autoRedefine/>
    <w:qFormat/>
    <w:uiPriority w:val="0"/>
    <w:rPr>
      <w:szCs w:val="20"/>
    </w:rPr>
  </w:style>
  <w:style w:type="paragraph" w:customStyle="1" w:styleId="147">
    <w:name w:val="flType"/>
    <w:basedOn w:val="1"/>
    <w:autoRedefine/>
    <w:qFormat/>
    <w:uiPriority w:val="0"/>
    <w:pPr>
      <w:adjustRightInd w:val="0"/>
      <w:spacing w:after="284" w:line="113" w:lineRule="atLeast"/>
      <w:jc w:val="center"/>
    </w:pPr>
    <w:rPr>
      <w:kern w:val="0"/>
      <w:sz w:val="24"/>
      <w:szCs w:val="20"/>
    </w:rPr>
  </w:style>
  <w:style w:type="paragraph" w:customStyle="1" w:styleId="148">
    <w:name w:val="Paragraph P1&amp;2"/>
    <w:basedOn w:val="1"/>
    <w:autoRedefine/>
    <w:qFormat/>
    <w:uiPriority w:val="0"/>
    <w:pPr>
      <w:widowControl/>
      <w:numPr>
        <w:ilvl w:val="0"/>
        <w:numId w:val="1"/>
      </w:numPr>
      <w:tabs>
        <w:tab w:val="left" w:pos="420"/>
      </w:tabs>
      <w:spacing w:before="40" w:after="60" w:line="360" w:lineRule="auto"/>
      <w:jc w:val="left"/>
    </w:pPr>
    <w:rPr>
      <w:rFonts w:ascii="宋体" w:hAnsi="宋体"/>
      <w:color w:val="FF0000"/>
      <w:sz w:val="24"/>
    </w:rPr>
  </w:style>
  <w:style w:type="paragraph" w:customStyle="1" w:styleId="149">
    <w:name w:val="样式 (中文) 黑体 小二 居中 行距: 1.5 倍行距"/>
    <w:basedOn w:val="1"/>
    <w:next w:val="1"/>
    <w:autoRedefine/>
    <w:qFormat/>
    <w:uiPriority w:val="0"/>
    <w:pPr>
      <w:jc w:val="center"/>
    </w:pPr>
    <w:rPr>
      <w:rFonts w:eastAsia="黑体" w:cs="宋体"/>
      <w:sz w:val="36"/>
      <w:szCs w:val="20"/>
    </w:rPr>
  </w:style>
  <w:style w:type="paragraph" w:customStyle="1" w:styleId="150">
    <w:name w:val="Char Char Char1 Char"/>
    <w:basedOn w:val="1"/>
    <w:autoRedefine/>
    <w:qFormat/>
    <w:uiPriority w:val="0"/>
    <w:rPr>
      <w:szCs w:val="20"/>
    </w:rPr>
  </w:style>
  <w:style w:type="paragraph" w:customStyle="1" w:styleId="151">
    <w:name w:val="标准正文"/>
    <w:basedOn w:val="1"/>
    <w:autoRedefine/>
    <w:qFormat/>
    <w:uiPriority w:val="0"/>
    <w:pPr>
      <w:snapToGrid w:val="0"/>
      <w:spacing w:line="312" w:lineRule="auto"/>
      <w:ind w:firstLine="482"/>
    </w:pPr>
    <w:rPr>
      <w:sz w:val="24"/>
      <w:szCs w:val="20"/>
    </w:rPr>
  </w:style>
  <w:style w:type="paragraph" w:customStyle="1" w:styleId="152">
    <w:name w:val="样式5"/>
    <w:basedOn w:val="153"/>
    <w:autoRedefine/>
    <w:qFormat/>
    <w:uiPriority w:val="0"/>
    <w:pPr>
      <w:spacing w:line="360" w:lineRule="auto"/>
    </w:pPr>
  </w:style>
  <w:style w:type="paragraph" w:customStyle="1" w:styleId="153">
    <w:name w:val="样式1"/>
    <w:basedOn w:val="2"/>
    <w:next w:val="1"/>
    <w:autoRedefine/>
    <w:qFormat/>
    <w:uiPriority w:val="0"/>
    <w:pPr>
      <w:spacing w:line="240" w:lineRule="auto"/>
      <w:jc w:val="center"/>
    </w:pPr>
    <w:rPr>
      <w:rFonts w:eastAsia="黑体"/>
      <w:sz w:val="36"/>
    </w:rPr>
  </w:style>
  <w:style w:type="paragraph" w:customStyle="1" w:styleId="154">
    <w:name w:val="Table Paragraph"/>
    <w:basedOn w:val="1"/>
    <w:autoRedefine/>
    <w:qFormat/>
    <w:uiPriority w:val="0"/>
    <w:pPr>
      <w:jc w:val="left"/>
    </w:pPr>
    <w:rPr>
      <w:rFonts w:ascii="Calibri" w:hAnsi="Calibri" w:cs="Calibri"/>
      <w:kern w:val="0"/>
      <w:sz w:val="22"/>
      <w:szCs w:val="22"/>
      <w:lang w:eastAsia="en-US"/>
    </w:rPr>
  </w:style>
  <w:style w:type="paragraph" w:customStyle="1" w:styleId="155">
    <w:name w:val="Blockquote"/>
    <w:basedOn w:val="1"/>
    <w:autoRedefine/>
    <w:qFormat/>
    <w:uiPriority w:val="0"/>
    <w:pPr>
      <w:autoSpaceDE w:val="0"/>
      <w:autoSpaceDN w:val="0"/>
      <w:adjustRightInd w:val="0"/>
      <w:spacing w:before="100" w:after="100"/>
      <w:ind w:left="360" w:right="360"/>
      <w:jc w:val="left"/>
    </w:pPr>
    <w:rPr>
      <w:kern w:val="0"/>
      <w:sz w:val="24"/>
      <w:szCs w:val="20"/>
    </w:rPr>
  </w:style>
  <w:style w:type="paragraph" w:customStyle="1" w:styleId="156">
    <w:name w:val="Char Char"/>
    <w:basedOn w:val="1"/>
    <w:next w:val="1"/>
    <w:autoRedefine/>
    <w:qFormat/>
    <w:uiPriority w:val="0"/>
    <w:pPr>
      <w:widowControl/>
      <w:spacing w:after="160" w:line="240" w:lineRule="exact"/>
      <w:jc w:val="left"/>
    </w:pPr>
    <w:rPr>
      <w:szCs w:val="20"/>
    </w:rPr>
  </w:style>
  <w:style w:type="paragraph" w:customStyle="1" w:styleId="157">
    <w:name w:val="Char Char Char"/>
    <w:basedOn w:val="1"/>
    <w:autoRedefine/>
    <w:qFormat/>
    <w:uiPriority w:val="0"/>
    <w:pPr>
      <w:tabs>
        <w:tab w:val="left" w:pos="420"/>
      </w:tabs>
      <w:ind w:left="420" w:hanging="420"/>
    </w:pPr>
    <w:rPr>
      <w:rFonts w:ascii="Tahoma" w:hAnsi="Tahoma"/>
      <w:sz w:val="24"/>
      <w:szCs w:val="20"/>
    </w:rPr>
  </w:style>
  <w:style w:type="paragraph" w:customStyle="1" w:styleId="158">
    <w:name w:val="正文1"/>
    <w:autoRedefine/>
    <w:qFormat/>
    <w:uiPriority w:val="0"/>
    <w:pPr>
      <w:widowControl w:val="0"/>
      <w:adjustRightInd w:val="0"/>
      <w:spacing w:line="315" w:lineRule="atLeast"/>
      <w:jc w:val="both"/>
      <w:textAlignment w:val="baseline"/>
    </w:pPr>
    <w:rPr>
      <w:rFonts w:ascii="宋体" w:hAnsi="Times New Roman" w:eastAsia="宋体" w:cs="Times New Roman"/>
      <w:sz w:val="24"/>
      <w:lang w:val="en-US" w:eastAsia="zh-CN" w:bidi="ar-SA"/>
    </w:rPr>
  </w:style>
  <w:style w:type="paragraph" w:customStyle="1" w:styleId="159">
    <w:name w:val="表格文字"/>
    <w:basedOn w:val="1"/>
    <w:next w:val="1"/>
    <w:autoRedefine/>
    <w:qFormat/>
    <w:uiPriority w:val="0"/>
    <w:pPr>
      <w:autoSpaceDE w:val="0"/>
      <w:autoSpaceDN w:val="0"/>
      <w:adjustRightInd w:val="0"/>
      <w:spacing w:before="6" w:after="6"/>
      <w:jc w:val="left"/>
    </w:pPr>
    <w:rPr>
      <w:rFonts w:ascii="宋体"/>
      <w:kern w:val="0"/>
      <w:sz w:val="20"/>
    </w:rPr>
  </w:style>
  <w:style w:type="paragraph" w:customStyle="1" w:styleId="160">
    <w:name w:val="Char Char Char Char Char Char Char Char Char Char"/>
    <w:basedOn w:val="1"/>
    <w:autoRedefine/>
    <w:qFormat/>
    <w:uiPriority w:val="0"/>
    <w:pPr>
      <w:widowControl/>
      <w:spacing w:line="400" w:lineRule="exact"/>
      <w:jc w:val="center"/>
    </w:pPr>
    <w:rPr>
      <w:rFonts w:ascii="Verdana" w:hAnsi="Verdana"/>
      <w:kern w:val="0"/>
      <w:szCs w:val="20"/>
      <w:lang w:eastAsia="en-US"/>
    </w:rPr>
  </w:style>
  <w:style w:type="paragraph" w:customStyle="1" w:styleId="161">
    <w:name w:val="样式3"/>
    <w:basedOn w:val="4"/>
    <w:next w:val="1"/>
    <w:autoRedefine/>
    <w:qFormat/>
    <w:uiPriority w:val="0"/>
    <w:pPr>
      <w:spacing w:line="240" w:lineRule="auto"/>
      <w:jc w:val="center"/>
    </w:pPr>
    <w:rPr>
      <w:rFonts w:eastAsia="黑体"/>
    </w:rPr>
  </w:style>
  <w:style w:type="paragraph" w:customStyle="1" w:styleId="162">
    <w:name w:val="文档正文"/>
    <w:basedOn w:val="1"/>
    <w:autoRedefine/>
    <w:qFormat/>
    <w:uiPriority w:val="0"/>
    <w:pPr>
      <w:adjustRightInd w:val="0"/>
      <w:spacing w:line="480" w:lineRule="atLeast"/>
      <w:ind w:firstLine="567"/>
    </w:pPr>
    <w:rPr>
      <w:rFonts w:ascii="长城仿宋"/>
      <w:kern w:val="0"/>
      <w:sz w:val="24"/>
      <w:szCs w:val="20"/>
    </w:rPr>
  </w:style>
  <w:style w:type="paragraph" w:customStyle="1" w:styleId="163">
    <w:name w:val="华文细黑1"/>
    <w:basedOn w:val="1"/>
    <w:autoRedefine/>
    <w:qFormat/>
    <w:uiPriority w:val="0"/>
    <w:pPr>
      <w:widowControl/>
      <w:spacing w:line="300" w:lineRule="auto"/>
      <w:ind w:firstLine="200" w:firstLineChars="200"/>
      <w:jc w:val="left"/>
    </w:pPr>
    <w:rPr>
      <w:rFonts w:eastAsia="华文细黑"/>
      <w:kern w:val="0"/>
      <w:sz w:val="24"/>
    </w:rPr>
  </w:style>
  <w:style w:type="paragraph" w:customStyle="1" w:styleId="164">
    <w:name w:val="样式 标题 3 + (中文) 黑体 小四 非加粗 段前: 7.8 磅 段后: 0 磅 行距: 固定值 20 磅"/>
    <w:basedOn w:val="4"/>
    <w:autoRedefine/>
    <w:qFormat/>
    <w:uiPriority w:val="0"/>
    <w:pPr>
      <w:spacing w:before="0" w:after="0" w:line="400" w:lineRule="exact"/>
    </w:pPr>
    <w:rPr>
      <w:rFonts w:eastAsia="黑体" w:cs="宋体"/>
      <w:b w:val="0"/>
      <w:bCs w:val="0"/>
      <w:sz w:val="24"/>
      <w:szCs w:val="20"/>
    </w:rPr>
  </w:style>
  <w:style w:type="paragraph" w:customStyle="1" w:styleId="165">
    <w:name w:val="默认段落字体 Para Char Char Char Char Char Char Char Char Char Char"/>
    <w:basedOn w:val="1"/>
    <w:autoRedefine/>
    <w:qFormat/>
    <w:uiPriority w:val="0"/>
    <w:rPr>
      <w:rFonts w:hint="eastAsia" w:ascii="Tahoma" w:hAnsi="Tahoma"/>
      <w:sz w:val="24"/>
      <w:szCs w:val="20"/>
    </w:rPr>
  </w:style>
  <w:style w:type="paragraph" w:customStyle="1" w:styleId="166">
    <w:name w:val="重点说明"/>
    <w:basedOn w:val="1"/>
    <w:autoRedefine/>
    <w:qFormat/>
    <w:uiPriority w:val="0"/>
    <w:pPr>
      <w:widowControl/>
      <w:spacing w:before="40" w:after="40" w:line="400" w:lineRule="exact"/>
      <w:ind w:left="360" w:hanging="360"/>
    </w:pPr>
    <w:rPr>
      <w:rFonts w:ascii="宋体"/>
      <w:b/>
      <w:spacing w:val="6"/>
      <w:sz w:val="28"/>
      <w:szCs w:val="20"/>
    </w:rPr>
  </w:style>
  <w:style w:type="paragraph" w:styleId="167">
    <w:name w:val="List Paragraph"/>
    <w:basedOn w:val="1"/>
    <w:autoRedefine/>
    <w:qFormat/>
    <w:uiPriority w:val="99"/>
    <w:pPr>
      <w:ind w:firstLine="420" w:firstLineChars="200"/>
    </w:pPr>
    <w:rPr>
      <w:rFonts w:ascii="Calibri" w:hAnsi="Calibri"/>
      <w:szCs w:val="22"/>
    </w:rPr>
  </w:style>
  <w:style w:type="paragraph" w:customStyle="1" w:styleId="168">
    <w:name w:val="Char Char Char Char"/>
    <w:basedOn w:val="1"/>
    <w:next w:val="1"/>
    <w:qFormat/>
    <w:uiPriority w:val="0"/>
    <w:pPr>
      <w:widowControl/>
      <w:spacing w:after="160" w:line="240" w:lineRule="exact"/>
      <w:jc w:val="left"/>
    </w:pPr>
  </w:style>
  <w:style w:type="paragraph" w:customStyle="1" w:styleId="169">
    <w:name w:val="Char Char Char Char Char Char Char Char Char Char Char Char Char Char 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170">
    <w:name w:val="Char Char1 Char Char Char"/>
    <w:basedOn w:val="15"/>
    <w:qFormat/>
    <w:uiPriority w:val="0"/>
  </w:style>
  <w:style w:type="paragraph" w:customStyle="1" w:styleId="171">
    <w:name w:val="Char Char1 Char Char Char Char Char Char Char Char Char Char Char Char Char Char"/>
    <w:basedOn w:val="1"/>
    <w:qFormat/>
    <w:uiPriority w:val="0"/>
    <w:pPr>
      <w:spacing w:after="160" w:line="240" w:lineRule="exact"/>
      <w:jc w:val="left"/>
    </w:pPr>
  </w:style>
  <w:style w:type="paragraph" w:customStyle="1" w:styleId="172">
    <w:name w:val="Address"/>
    <w:basedOn w:val="1"/>
    <w:next w:val="1"/>
    <w:qFormat/>
    <w:uiPriority w:val="0"/>
    <w:pPr>
      <w:autoSpaceDE w:val="0"/>
      <w:autoSpaceDN w:val="0"/>
      <w:adjustRightInd w:val="0"/>
      <w:jc w:val="left"/>
    </w:pPr>
    <w:rPr>
      <w:i/>
      <w:kern w:val="0"/>
      <w:sz w:val="24"/>
      <w:szCs w:val="20"/>
    </w:rPr>
  </w:style>
  <w:style w:type="paragraph" w:customStyle="1" w:styleId="173">
    <w:name w:val="列出段落1"/>
    <w:basedOn w:val="1"/>
    <w:qFormat/>
    <w:uiPriority w:val="34"/>
    <w:pPr>
      <w:ind w:firstLine="420" w:firstLineChars="200"/>
    </w:pPr>
    <w:rPr>
      <w:rFonts w:ascii="Calibri" w:hAnsi="Calibri"/>
      <w:szCs w:val="20"/>
    </w:rPr>
  </w:style>
  <w:style w:type="paragraph" w:customStyle="1" w:styleId="174">
    <w:name w:val="列表1）"/>
    <w:basedOn w:val="12"/>
    <w:qFormat/>
    <w:uiPriority w:val="0"/>
    <w:pPr>
      <w:adjustRightInd/>
      <w:spacing w:before="10" w:line="240" w:lineRule="auto"/>
      <w:ind w:firstLine="0"/>
      <w:textAlignment w:val="auto"/>
    </w:pPr>
    <w:rPr>
      <w:rFonts w:ascii="Verdana" w:hAnsi="Verdana"/>
      <w:sz w:val="21"/>
      <w:szCs w:val="21"/>
    </w:rPr>
  </w:style>
  <w:style w:type="paragraph" w:customStyle="1" w:styleId="175">
    <w:name w:val="Char Char Char1 Char1"/>
    <w:basedOn w:val="1"/>
    <w:qFormat/>
    <w:uiPriority w:val="0"/>
    <w:rPr>
      <w:szCs w:val="20"/>
    </w:rPr>
  </w:style>
  <w:style w:type="paragraph" w:customStyle="1" w:styleId="176">
    <w:name w:val="Char Char Char Char Char Char Char1"/>
    <w:basedOn w:val="1"/>
    <w:qFormat/>
    <w:uiPriority w:val="0"/>
    <w:pPr>
      <w:widowControl/>
      <w:spacing w:line="400" w:lineRule="exact"/>
      <w:jc w:val="center"/>
    </w:pPr>
    <w:rPr>
      <w:rFonts w:ascii="Verdana" w:hAnsi="Verdana"/>
      <w:kern w:val="0"/>
      <w:szCs w:val="20"/>
      <w:lang w:eastAsia="en-US"/>
    </w:rPr>
  </w:style>
  <w:style w:type="paragraph" w:customStyle="1" w:styleId="177">
    <w:name w:val="Char Char Char Char Char Char Char Char Char Char 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178">
    <w:name w:val="样式 宋体 首行缩进:  2 字符 段前: 7.8 磅 段后: 7.8 磅"/>
    <w:basedOn w:val="1"/>
    <w:qFormat/>
    <w:uiPriority w:val="0"/>
    <w:pPr>
      <w:adjustRightInd w:val="0"/>
      <w:snapToGrid w:val="0"/>
      <w:spacing w:before="156" w:after="156" w:line="360" w:lineRule="auto"/>
      <w:ind w:firstLine="200" w:firstLineChars="200"/>
    </w:pPr>
    <w:rPr>
      <w:rFonts w:ascii="宋体" w:hAnsi="宋体" w:cs="宋体"/>
      <w:szCs w:val="20"/>
    </w:rPr>
  </w:style>
  <w:style w:type="paragraph" w:customStyle="1" w:styleId="179">
    <w:name w:val="样式 标题 2 + (中文) 宋体 (西文)五号 非(西文)粗体 段前: 6 磅 段后: 3 磅 行距: 1.5 倍行距"/>
    <w:basedOn w:val="3"/>
    <w:qFormat/>
    <w:uiPriority w:val="0"/>
    <w:pPr>
      <w:adjustRightInd w:val="0"/>
      <w:spacing w:before="120" w:after="60" w:line="360" w:lineRule="auto"/>
      <w:jc w:val="center"/>
      <w:textAlignment w:val="baseline"/>
    </w:pPr>
    <w:rPr>
      <w:rFonts w:eastAsia="宋体"/>
      <w:bCs w:val="0"/>
      <w:sz w:val="24"/>
      <w:szCs w:val="24"/>
    </w:rPr>
  </w:style>
  <w:style w:type="paragraph" w:customStyle="1" w:styleId="180">
    <w:name w:val="样式 (中文) 黑体 四号 居中 行距: 1.5 倍行距"/>
    <w:basedOn w:val="4"/>
    <w:qFormat/>
    <w:uiPriority w:val="0"/>
    <w:pPr>
      <w:spacing w:line="240" w:lineRule="auto"/>
      <w:jc w:val="center"/>
    </w:pPr>
    <w:rPr>
      <w:rFonts w:eastAsia="黑体" w:cs="宋体"/>
      <w:sz w:val="28"/>
      <w:szCs w:val="20"/>
    </w:rPr>
  </w:style>
  <w:style w:type="paragraph" w:customStyle="1" w:styleId="181">
    <w:name w:val="Char Char1"/>
    <w:basedOn w:val="1"/>
    <w:qFormat/>
    <w:uiPriority w:val="0"/>
  </w:style>
  <w:style w:type="paragraph" w:customStyle="1" w:styleId="182">
    <w:name w:val="Char Char2 Char Char Char Char"/>
    <w:basedOn w:val="1"/>
    <w:qFormat/>
    <w:uiPriority w:val="0"/>
    <w:rPr>
      <w:rFonts w:ascii="Tahoma" w:hAnsi="Tahoma"/>
      <w:sz w:val="24"/>
      <w:szCs w:val="20"/>
    </w:rPr>
  </w:style>
  <w:style w:type="paragraph" w:customStyle="1" w:styleId="183">
    <w:name w:val="样式 标题 1 + 居中"/>
    <w:basedOn w:val="2"/>
    <w:qFormat/>
    <w:uiPriority w:val="0"/>
    <w:pPr>
      <w:spacing w:line="576" w:lineRule="auto"/>
      <w:jc w:val="center"/>
    </w:pPr>
    <w:rPr>
      <w:bCs w:val="0"/>
      <w:sz w:val="32"/>
      <w:szCs w:val="20"/>
    </w:rPr>
  </w:style>
  <w:style w:type="paragraph" w:customStyle="1" w:styleId="184">
    <w:name w:val="样式4"/>
    <w:basedOn w:val="1"/>
    <w:next w:val="32"/>
    <w:qFormat/>
    <w:uiPriority w:val="0"/>
    <w:pPr>
      <w:tabs>
        <w:tab w:val="left" w:pos="8300"/>
      </w:tabs>
      <w:ind w:right="13"/>
      <w:jc w:val="right"/>
    </w:pPr>
    <w:rPr>
      <w:rFonts w:eastAsia="仿宋_GB2312"/>
      <w:sz w:val="28"/>
    </w:rPr>
  </w:style>
  <w:style w:type="paragraph" w:customStyle="1" w:styleId="185">
    <w:name w:val="_Style 2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6">
    <w:name w:val="样式 (中文) 黑体 小三 黑色"/>
    <w:basedOn w:val="3"/>
    <w:qFormat/>
    <w:uiPriority w:val="0"/>
    <w:pPr>
      <w:spacing w:line="240" w:lineRule="auto"/>
      <w:jc w:val="center"/>
    </w:pPr>
    <w:rPr>
      <w:color w:val="000000"/>
      <w:sz w:val="30"/>
    </w:rPr>
  </w:style>
  <w:style w:type="paragraph" w:customStyle="1" w:styleId="187">
    <w:name w:val="样式 首行缩进:  2 字符"/>
    <w:basedOn w:val="1"/>
    <w:qFormat/>
    <w:uiPriority w:val="0"/>
    <w:pPr>
      <w:spacing w:line="360" w:lineRule="auto"/>
      <w:ind w:firstLine="480" w:firstLineChars="200"/>
    </w:pPr>
    <w:rPr>
      <w:rFonts w:ascii="Arial" w:hAnsi="Arial"/>
      <w:sz w:val="24"/>
      <w:szCs w:val="20"/>
    </w:rPr>
  </w:style>
  <w:style w:type="paragraph" w:customStyle="1" w:styleId="188">
    <w:name w:val="TOC 标题1"/>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189">
    <w:name w:val="样式 (中文) 黑体 小二 行距: 1.5 倍行距"/>
    <w:basedOn w:val="1"/>
    <w:qFormat/>
    <w:uiPriority w:val="0"/>
    <w:pPr>
      <w:spacing w:line="360" w:lineRule="auto"/>
    </w:pPr>
    <w:rPr>
      <w:rFonts w:eastAsia="黑体" w:cs="宋体"/>
      <w:sz w:val="36"/>
      <w:szCs w:val="20"/>
    </w:rPr>
  </w:style>
  <w:style w:type="character" w:customStyle="1" w:styleId="190">
    <w:name w:val="Char Char4"/>
    <w:qFormat/>
    <w:locked/>
    <w:uiPriority w:val="0"/>
    <w:rPr>
      <w:rFonts w:ascii="Cambria" w:hAnsi="Cambria" w:eastAsia="宋体"/>
      <w:b/>
      <w:bCs/>
      <w:kern w:val="2"/>
      <w:sz w:val="32"/>
      <w:szCs w:val="32"/>
      <w:lang w:val="en-US" w:eastAsia="zh-CN" w:bidi="ar-SA"/>
    </w:rPr>
  </w:style>
  <w:style w:type="character" w:customStyle="1" w:styleId="191">
    <w:name w:val="level1"/>
    <w:qFormat/>
    <w:uiPriority w:val="0"/>
  </w:style>
  <w:style w:type="character" w:customStyle="1" w:styleId="192">
    <w:name w:val="Char Char6"/>
    <w:qFormat/>
    <w:locked/>
    <w:uiPriority w:val="0"/>
    <w:rPr>
      <w:rFonts w:ascii="宋体" w:hAnsi="Courier New" w:eastAsia="宋体" w:cs="Courier New"/>
      <w:kern w:val="2"/>
      <w:sz w:val="21"/>
      <w:szCs w:val="21"/>
      <w:lang w:val="en-US" w:eastAsia="zh-CN" w:bidi="ar-SA"/>
    </w:rPr>
  </w:style>
  <w:style w:type="character" w:customStyle="1" w:styleId="193">
    <w:name w:val="Char Char Char Char Char Char"/>
    <w:qFormat/>
    <w:uiPriority w:val="0"/>
    <w:rPr>
      <w:rFonts w:eastAsia="宋体"/>
      <w:kern w:val="2"/>
      <w:sz w:val="21"/>
      <w:szCs w:val="24"/>
      <w:lang w:val="en-US" w:eastAsia="zh-CN" w:bidi="ar-SA"/>
    </w:rPr>
  </w:style>
  <w:style w:type="character" w:customStyle="1" w:styleId="194">
    <w:name w:val="Char Char8"/>
    <w:qFormat/>
    <w:locked/>
    <w:uiPriority w:val="0"/>
    <w:rPr>
      <w:rFonts w:ascii="宋体" w:hAnsi="宋体" w:eastAsia="宋体"/>
      <w:kern w:val="2"/>
      <w:sz w:val="18"/>
      <w:szCs w:val="24"/>
      <w:lang w:val="en-US" w:eastAsia="zh-CN" w:bidi="ar-SA"/>
    </w:rPr>
  </w:style>
  <w:style w:type="character" w:customStyle="1" w:styleId="195">
    <w:name w:val="正文首行缩进 Char1"/>
    <w:qFormat/>
    <w:uiPriority w:val="0"/>
    <w:rPr>
      <w:rFonts w:eastAsia="仿宋_GB2312"/>
      <w:kern w:val="2"/>
      <w:sz w:val="21"/>
      <w:szCs w:val="24"/>
    </w:rPr>
  </w:style>
  <w:style w:type="character" w:customStyle="1" w:styleId="196">
    <w:name w:val="Char Char10"/>
    <w:qFormat/>
    <w:uiPriority w:val="0"/>
    <w:rPr>
      <w:rFonts w:eastAsia="宋体"/>
      <w:kern w:val="2"/>
      <w:sz w:val="18"/>
      <w:szCs w:val="18"/>
      <w:lang w:val="en-US" w:eastAsia="zh-CN" w:bidi="ar-SA"/>
    </w:rPr>
  </w:style>
  <w:style w:type="character" w:customStyle="1" w:styleId="197">
    <w:name w:val="Char Char81"/>
    <w:qFormat/>
    <w:uiPriority w:val="0"/>
    <w:rPr>
      <w:kern w:val="2"/>
      <w:sz w:val="21"/>
      <w:szCs w:val="24"/>
      <w:lang w:bidi="ar-SA"/>
    </w:rPr>
  </w:style>
  <w:style w:type="character" w:customStyle="1" w:styleId="198">
    <w:name w:val="Char Char5"/>
    <w:qFormat/>
    <w:locked/>
    <w:uiPriority w:val="0"/>
    <w:rPr>
      <w:rFonts w:ascii="宋体" w:hAnsi="宋体" w:eastAsia="宋体"/>
      <w:kern w:val="2"/>
      <w:sz w:val="21"/>
      <w:szCs w:val="24"/>
      <w:lang w:val="en-US" w:eastAsia="zh-CN" w:bidi="ar-SA"/>
    </w:rPr>
  </w:style>
  <w:style w:type="character" w:customStyle="1" w:styleId="199">
    <w:name w:val="Char Char101"/>
    <w:qFormat/>
    <w:locked/>
    <w:uiPriority w:val="0"/>
    <w:rPr>
      <w:rFonts w:eastAsia="宋体"/>
      <w:sz w:val="24"/>
      <w:lang w:val="en-US" w:eastAsia="zh-CN" w:bidi="ar-SA"/>
    </w:rPr>
  </w:style>
  <w:style w:type="character" w:customStyle="1" w:styleId="200">
    <w:name w:val="普通文字 Char"/>
    <w:qFormat/>
    <w:uiPriority w:val="0"/>
    <w:rPr>
      <w:rFonts w:ascii="宋体" w:hAnsi="Courier New" w:cs="Courier New"/>
      <w:kern w:val="2"/>
      <w:sz w:val="21"/>
      <w:szCs w:val="21"/>
    </w:rPr>
  </w:style>
  <w:style w:type="character" w:customStyle="1" w:styleId="201">
    <w:name w:val="Char Char7"/>
    <w:qFormat/>
    <w:uiPriority w:val="0"/>
    <w:rPr>
      <w:b/>
      <w:bCs/>
      <w:kern w:val="2"/>
      <w:sz w:val="21"/>
      <w:szCs w:val="24"/>
      <w:lang w:bidi="ar-SA"/>
    </w:rPr>
  </w:style>
  <w:style w:type="character" w:customStyle="1" w:styleId="202">
    <w:name w:val="Char Char3"/>
    <w:qFormat/>
    <w:locked/>
    <w:uiPriority w:val="0"/>
    <w:rPr>
      <w:rFonts w:ascii="宋体" w:hAnsi="宋体" w:eastAsia="宋体"/>
      <w:kern w:val="2"/>
      <w:sz w:val="18"/>
      <w:szCs w:val="18"/>
      <w:lang w:val="en-US" w:eastAsia="zh-CN" w:bidi="ar-SA"/>
    </w:rPr>
  </w:style>
  <w:style w:type="character" w:customStyle="1" w:styleId="203">
    <w:name w:val="引用 Char2"/>
    <w:qFormat/>
    <w:uiPriority w:val="99"/>
    <w:rPr>
      <w:i/>
      <w:iCs/>
      <w:color w:val="404040"/>
      <w:kern w:val="2"/>
      <w:sz w:val="21"/>
      <w:szCs w:val="24"/>
    </w:rPr>
  </w:style>
  <w:style w:type="character" w:customStyle="1" w:styleId="204">
    <w:name w:val="明显引用 Char1"/>
    <w:qFormat/>
    <w:uiPriority w:val="30"/>
    <w:rPr>
      <w:b/>
      <w:bCs/>
      <w:i/>
      <w:iCs/>
      <w:color w:val="4F81BD"/>
      <w:kern w:val="2"/>
      <w:sz w:val="21"/>
      <w:szCs w:val="24"/>
    </w:rPr>
  </w:style>
  <w:style w:type="character" w:customStyle="1" w:styleId="205">
    <w:name w:val="Char Char21"/>
    <w:qFormat/>
    <w:uiPriority w:val="0"/>
    <w:rPr>
      <w:rFonts w:eastAsia="宋体"/>
      <w:b/>
      <w:bCs/>
      <w:kern w:val="2"/>
      <w:sz w:val="32"/>
      <w:szCs w:val="32"/>
      <w:lang w:val="en-US" w:eastAsia="zh-CN" w:bidi="ar-SA"/>
    </w:rPr>
  </w:style>
  <w:style w:type="character" w:customStyle="1" w:styleId="206">
    <w:name w:val="批注文字 Char Char Char"/>
    <w:qFormat/>
    <w:uiPriority w:val="0"/>
    <w:rPr>
      <w:kern w:val="2"/>
      <w:sz w:val="21"/>
      <w:szCs w:val="24"/>
    </w:rPr>
  </w:style>
  <w:style w:type="character" w:customStyle="1" w:styleId="207">
    <w:name w:val="Char Char14"/>
    <w:qFormat/>
    <w:uiPriority w:val="0"/>
    <w:rPr>
      <w:rFonts w:eastAsia="宋体"/>
      <w:kern w:val="2"/>
      <w:sz w:val="21"/>
      <w:szCs w:val="24"/>
      <w:lang w:val="en-US" w:eastAsia="zh-CN" w:bidi="ar-SA"/>
    </w:rPr>
  </w:style>
  <w:style w:type="character" w:customStyle="1" w:styleId="208">
    <w:name w:val="Char Char9"/>
    <w:qFormat/>
    <w:uiPriority w:val="0"/>
    <w:rPr>
      <w:rFonts w:eastAsia="宋体"/>
      <w:kern w:val="2"/>
      <w:sz w:val="18"/>
      <w:szCs w:val="24"/>
      <w:lang w:val="en-US" w:eastAsia="zh-CN" w:bidi="ar-SA"/>
    </w:rPr>
  </w:style>
  <w:style w:type="character" w:customStyle="1" w:styleId="209">
    <w:name w:val="引用 Char1"/>
    <w:qFormat/>
    <w:uiPriority w:val="29"/>
    <w:rPr>
      <w:i/>
      <w:iCs/>
      <w:color w:val="000000"/>
      <w:kern w:val="2"/>
      <w:sz w:val="21"/>
      <w:szCs w:val="24"/>
    </w:rPr>
  </w:style>
  <w:style w:type="character" w:customStyle="1" w:styleId="210">
    <w:name w:val="副标题 Char2"/>
    <w:qFormat/>
    <w:uiPriority w:val="0"/>
    <w:rPr>
      <w:rFonts w:ascii="Calibri Light" w:hAnsi="Calibri Light" w:cs="Times New Roman"/>
      <w:b/>
      <w:bCs/>
      <w:kern w:val="28"/>
      <w:sz w:val="32"/>
      <w:szCs w:val="32"/>
    </w:rPr>
  </w:style>
  <w:style w:type="character" w:customStyle="1" w:styleId="211">
    <w:name w:val="HTML 预设格式 Char1"/>
    <w:qFormat/>
    <w:uiPriority w:val="0"/>
    <w:rPr>
      <w:rFonts w:ascii="Courier New" w:hAnsi="Courier New" w:cs="Courier New"/>
      <w:kern w:val="2"/>
    </w:rPr>
  </w:style>
  <w:style w:type="character" w:customStyle="1" w:styleId="212">
    <w:name w:val="Char Char13"/>
    <w:qFormat/>
    <w:locked/>
    <w:uiPriority w:val="0"/>
    <w:rPr>
      <w:rFonts w:eastAsia="宋体"/>
      <w:b/>
      <w:bCs/>
      <w:kern w:val="44"/>
      <w:sz w:val="44"/>
      <w:szCs w:val="44"/>
      <w:lang w:val="en-US" w:eastAsia="zh-CN" w:bidi="ar-SA"/>
    </w:rPr>
  </w:style>
  <w:style w:type="character" w:customStyle="1" w:styleId="213">
    <w:name w:val="正文文本 Char2"/>
    <w:qFormat/>
    <w:uiPriority w:val="0"/>
    <w:rPr>
      <w:rFonts w:eastAsia="仿宋_GB2312"/>
      <w:kern w:val="2"/>
      <w:sz w:val="23"/>
      <w:szCs w:val="24"/>
      <w:lang w:val="en-US" w:eastAsia="zh-CN" w:bidi="ar-SA"/>
    </w:rPr>
  </w:style>
  <w:style w:type="character" w:customStyle="1" w:styleId="214">
    <w:name w:val="仿宋，小四"/>
    <w:qFormat/>
    <w:uiPriority w:val="0"/>
    <w:rPr>
      <w:rFonts w:eastAsia="仿宋_GB2312"/>
      <w:sz w:val="24"/>
    </w:rPr>
  </w:style>
  <w:style w:type="character" w:customStyle="1" w:styleId="215">
    <w:name w:val="标题 Char1"/>
    <w:qFormat/>
    <w:uiPriority w:val="0"/>
    <w:rPr>
      <w:rFonts w:ascii="Calibri Light" w:hAnsi="Calibri Light" w:cs="Times New Roman"/>
      <w:b/>
      <w:bCs/>
      <w:kern w:val="2"/>
      <w:sz w:val="32"/>
      <w:szCs w:val="32"/>
    </w:rPr>
  </w:style>
  <w:style w:type="character" w:customStyle="1" w:styleId="216">
    <w:name w:val="Char Char91"/>
    <w:qFormat/>
    <w:locked/>
    <w:uiPriority w:val="0"/>
    <w:rPr>
      <w:rFonts w:ascii="宋体" w:hAnsi="宋体" w:eastAsia="宋体"/>
      <w:kern w:val="2"/>
      <w:sz w:val="18"/>
      <w:szCs w:val="18"/>
      <w:lang w:val="en-US" w:eastAsia="zh-CN" w:bidi="ar-SA"/>
    </w:rPr>
  </w:style>
  <w:style w:type="character" w:customStyle="1" w:styleId="217">
    <w:name w:val="Char Char61"/>
    <w:qFormat/>
    <w:uiPriority w:val="0"/>
    <w:rPr>
      <w:kern w:val="2"/>
      <w:sz w:val="18"/>
      <w:szCs w:val="18"/>
    </w:rPr>
  </w:style>
  <w:style w:type="character" w:customStyle="1" w:styleId="218">
    <w:name w:val="Char Char22"/>
    <w:qFormat/>
    <w:uiPriority w:val="0"/>
    <w:rPr>
      <w:rFonts w:eastAsia="宋体"/>
      <w:sz w:val="24"/>
      <w:szCs w:val="24"/>
      <w:lang w:val="en-US" w:eastAsia="zh-CN" w:bidi="ar-SA"/>
    </w:rPr>
  </w:style>
  <w:style w:type="character" w:customStyle="1" w:styleId="219">
    <w:name w:val="标题4 Char3"/>
    <w:qFormat/>
    <w:uiPriority w:val="0"/>
    <w:rPr>
      <w:rFonts w:eastAsia="宋体"/>
      <w:sz w:val="24"/>
      <w:szCs w:val="24"/>
      <w:lang w:val="en-US" w:eastAsia="zh-CN" w:bidi="ar-SA"/>
    </w:rPr>
  </w:style>
  <w:style w:type="character" w:customStyle="1" w:styleId="220">
    <w:name w:val="明显引用 Char2"/>
    <w:qFormat/>
    <w:uiPriority w:val="99"/>
    <w:rPr>
      <w:i/>
      <w:iCs/>
      <w:color w:val="5B9BD5"/>
      <w:kern w:val="2"/>
      <w:sz w:val="21"/>
      <w:szCs w:val="24"/>
    </w:rPr>
  </w:style>
  <w:style w:type="character" w:customStyle="1" w:styleId="221">
    <w:name w:val="Char Char71"/>
    <w:qFormat/>
    <w:locked/>
    <w:uiPriority w:val="0"/>
    <w:rPr>
      <w:rFonts w:ascii="宋体" w:hAnsi="宋体" w:eastAsia="宋体"/>
      <w:kern w:val="2"/>
      <w:sz w:val="21"/>
      <w:szCs w:val="24"/>
      <w:lang w:val="en-US" w:eastAsia="zh-CN" w:bidi="ar-SA"/>
    </w:rPr>
  </w:style>
  <w:style w:type="paragraph" w:customStyle="1" w:styleId="222">
    <w:name w:val="xl1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18"/>
      <w:szCs w:val="18"/>
    </w:rPr>
  </w:style>
  <w:style w:type="paragraph" w:customStyle="1" w:styleId="223">
    <w:name w:val="paragraphindent"/>
    <w:basedOn w:val="1"/>
    <w:qFormat/>
    <w:uiPriority w:val="0"/>
    <w:pPr>
      <w:widowControl/>
      <w:spacing w:before="100" w:beforeAutospacing="1" w:after="100" w:afterAutospacing="1"/>
      <w:jc w:val="left"/>
    </w:pPr>
    <w:rPr>
      <w:rFonts w:ascii="宋体" w:hAnsi="宋体" w:cs="宋体"/>
      <w:kern w:val="0"/>
      <w:sz w:val="24"/>
    </w:rPr>
  </w:style>
  <w:style w:type="paragraph" w:customStyle="1" w:styleId="224">
    <w:name w:val="xl1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25">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226">
    <w:name w:val="xl135"/>
    <w:basedOn w:val="1"/>
    <w:qFormat/>
    <w:uiPriority w:val="0"/>
    <w:pPr>
      <w:widowControl/>
      <w:pBdr>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227">
    <w:name w:val="font8"/>
    <w:basedOn w:val="1"/>
    <w:qFormat/>
    <w:uiPriority w:val="0"/>
    <w:pPr>
      <w:widowControl/>
      <w:spacing w:before="100" w:beforeAutospacing="1" w:after="100" w:afterAutospacing="1"/>
      <w:jc w:val="left"/>
    </w:pPr>
    <w:rPr>
      <w:rFonts w:ascii="Arial" w:hAnsi="Arial" w:cs="Arial"/>
      <w:kern w:val="0"/>
      <w:sz w:val="16"/>
      <w:szCs w:val="16"/>
    </w:rPr>
  </w:style>
  <w:style w:type="paragraph" w:customStyle="1" w:styleId="228">
    <w:name w:val="xl165"/>
    <w:basedOn w:val="1"/>
    <w:qFormat/>
    <w:uiPriority w:val="0"/>
    <w:pPr>
      <w:widowControl/>
      <w:pBdr>
        <w:bottom w:val="single" w:color="auto" w:sz="4" w:space="0"/>
      </w:pBdr>
      <w:spacing w:before="100" w:beforeAutospacing="1" w:after="100" w:afterAutospacing="1"/>
      <w:jc w:val="left"/>
    </w:pPr>
    <w:rPr>
      <w:rFonts w:ascii="宋体" w:hAnsi="宋体" w:cs="宋体"/>
      <w:kern w:val="0"/>
      <w:sz w:val="18"/>
      <w:szCs w:val="18"/>
    </w:rPr>
  </w:style>
  <w:style w:type="paragraph" w:customStyle="1" w:styleId="229">
    <w:name w:val="Char Char1 Char Char Char1"/>
    <w:basedOn w:val="15"/>
    <w:qFormat/>
    <w:uiPriority w:val="0"/>
    <w:rPr>
      <w:kern w:val="2"/>
      <w:sz w:val="21"/>
    </w:rPr>
  </w:style>
  <w:style w:type="paragraph" w:customStyle="1" w:styleId="230">
    <w:name w:val="xl1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31">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32">
    <w:name w:val="xl15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b/>
      <w:bCs/>
      <w:kern w:val="0"/>
      <w:sz w:val="18"/>
      <w:szCs w:val="18"/>
    </w:rPr>
  </w:style>
  <w:style w:type="paragraph" w:customStyle="1" w:styleId="233">
    <w:name w:val="Char Char Char Char Char Char Char Char Char Char Char Char Char1"/>
    <w:basedOn w:val="1"/>
    <w:qFormat/>
    <w:uiPriority w:val="0"/>
    <w:pPr>
      <w:tabs>
        <w:tab w:val="left" w:pos="420"/>
      </w:tabs>
      <w:ind w:left="420" w:hanging="420"/>
    </w:pPr>
    <w:rPr>
      <w:rFonts w:ascii="Tahoma" w:hAnsi="Tahoma"/>
      <w:sz w:val="24"/>
      <w:szCs w:val="20"/>
    </w:rPr>
  </w:style>
  <w:style w:type="paragraph" w:customStyle="1" w:styleId="234">
    <w:name w:val="Char Char Char Char Char Char Char Char Char Char1"/>
    <w:basedOn w:val="1"/>
    <w:qFormat/>
    <w:uiPriority w:val="0"/>
    <w:pPr>
      <w:widowControl/>
      <w:spacing w:line="400" w:lineRule="exact"/>
      <w:jc w:val="center"/>
    </w:pPr>
    <w:rPr>
      <w:rFonts w:ascii="Verdana" w:hAnsi="Verdana"/>
      <w:kern w:val="0"/>
      <w:szCs w:val="20"/>
      <w:lang w:eastAsia="en-US"/>
    </w:rPr>
  </w:style>
  <w:style w:type="paragraph" w:customStyle="1" w:styleId="235">
    <w:name w:val="font10"/>
    <w:basedOn w:val="1"/>
    <w:qFormat/>
    <w:uiPriority w:val="0"/>
    <w:pPr>
      <w:widowControl/>
      <w:spacing w:before="100" w:beforeAutospacing="1" w:after="100" w:afterAutospacing="1"/>
      <w:jc w:val="left"/>
    </w:pPr>
    <w:rPr>
      <w:rFonts w:ascii="宋体" w:hAnsi="宋体" w:cs="宋体"/>
      <w:kern w:val="0"/>
      <w:sz w:val="16"/>
      <w:szCs w:val="16"/>
    </w:rPr>
  </w:style>
  <w:style w:type="paragraph" w:customStyle="1" w:styleId="236">
    <w:name w:val="xl1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37">
    <w:name w:val="文字"/>
    <w:basedOn w:val="1"/>
    <w:qFormat/>
    <w:uiPriority w:val="0"/>
    <w:pPr>
      <w:tabs>
        <w:tab w:val="left" w:pos="8520"/>
      </w:tabs>
      <w:spacing w:line="312" w:lineRule="auto"/>
      <w:ind w:right="-210" w:firstLine="556"/>
    </w:pPr>
    <w:rPr>
      <w:rFonts w:ascii="楷体_GB2312" w:eastAsia="楷体_GB2312"/>
      <w:sz w:val="28"/>
      <w:szCs w:val="20"/>
    </w:rPr>
  </w:style>
  <w:style w:type="paragraph" w:customStyle="1" w:styleId="238">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0"/>
      <w:szCs w:val="20"/>
    </w:rPr>
  </w:style>
  <w:style w:type="paragraph" w:customStyle="1" w:styleId="239">
    <w:name w:val="font13"/>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40">
    <w:name w:val="xl141"/>
    <w:basedOn w:val="1"/>
    <w:qFormat/>
    <w:uiPriority w:val="0"/>
    <w:pPr>
      <w:widowControl/>
      <w:pBdr>
        <w:bottom w:val="single" w:color="auto" w:sz="4" w:space="0"/>
        <w:right w:val="single" w:color="auto" w:sz="4" w:space="0"/>
      </w:pBdr>
      <w:spacing w:before="100" w:beforeAutospacing="1" w:after="100" w:afterAutospacing="1"/>
      <w:jc w:val="left"/>
    </w:pPr>
    <w:rPr>
      <w:rFonts w:ascii="宋体" w:hAnsi="宋体" w:cs="宋体"/>
      <w:b/>
      <w:bCs/>
      <w:kern w:val="0"/>
      <w:sz w:val="18"/>
      <w:szCs w:val="18"/>
    </w:rPr>
  </w:style>
  <w:style w:type="paragraph" w:customStyle="1" w:styleId="241">
    <w:name w:val="xl162"/>
    <w:basedOn w:val="1"/>
    <w:qFormat/>
    <w:uiPriority w:val="0"/>
    <w:pPr>
      <w:widowControl/>
      <w:pBdr>
        <w:bottom w:val="single" w:color="auto" w:sz="4" w:space="0"/>
        <w:right w:val="single" w:color="auto" w:sz="4" w:space="0"/>
      </w:pBdr>
      <w:spacing w:before="100" w:beforeAutospacing="1" w:after="100" w:afterAutospacing="1"/>
      <w:jc w:val="left"/>
    </w:pPr>
    <w:rPr>
      <w:rFonts w:ascii="宋体" w:hAnsi="宋体" w:cs="宋体"/>
      <w:color w:val="000000"/>
      <w:kern w:val="0"/>
      <w:sz w:val="18"/>
      <w:szCs w:val="18"/>
    </w:rPr>
  </w:style>
  <w:style w:type="paragraph" w:customStyle="1" w:styleId="242">
    <w:name w:val="font14"/>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43">
    <w:name w:val="xl146"/>
    <w:basedOn w:val="1"/>
    <w:qFormat/>
    <w:uiPriority w:val="0"/>
    <w:pPr>
      <w:widowControl/>
      <w:spacing w:before="100" w:beforeAutospacing="1" w:after="100" w:afterAutospacing="1"/>
      <w:jc w:val="left"/>
      <w:textAlignment w:val="bottom"/>
    </w:pPr>
    <w:rPr>
      <w:rFonts w:ascii="宋体" w:hAnsi="宋体" w:cs="宋体"/>
      <w:kern w:val="0"/>
      <w:sz w:val="24"/>
    </w:rPr>
  </w:style>
  <w:style w:type="paragraph" w:customStyle="1" w:styleId="244">
    <w:name w:val="xl1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245">
    <w:name w:val="xl169"/>
    <w:basedOn w:val="1"/>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center"/>
    </w:pPr>
    <w:rPr>
      <w:rFonts w:ascii="宋体" w:hAnsi="宋体" w:cs="宋体"/>
      <w:kern w:val="0"/>
      <w:sz w:val="20"/>
      <w:szCs w:val="20"/>
    </w:rPr>
  </w:style>
  <w:style w:type="paragraph" w:customStyle="1" w:styleId="246">
    <w:name w:val="xl1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47">
    <w:name w:val="reader-word-layer reader-word-s1-2"/>
    <w:basedOn w:val="1"/>
    <w:qFormat/>
    <w:uiPriority w:val="0"/>
    <w:pPr>
      <w:widowControl/>
      <w:spacing w:before="100" w:beforeAutospacing="1" w:after="100" w:afterAutospacing="1"/>
      <w:jc w:val="left"/>
    </w:pPr>
    <w:rPr>
      <w:rFonts w:ascii="宋体" w:hAnsi="宋体" w:cs="宋体"/>
      <w:kern w:val="0"/>
      <w:sz w:val="24"/>
    </w:rPr>
  </w:style>
  <w:style w:type="paragraph" w:customStyle="1" w:styleId="248">
    <w:name w:val="xl1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49">
    <w:name w:val="font7"/>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50">
    <w:name w:val="Char Char Char1 Char Char Char Char Char Char Char"/>
    <w:basedOn w:val="1"/>
    <w:qFormat/>
    <w:uiPriority w:val="0"/>
    <w:rPr>
      <w:rFonts w:ascii="Tahoma" w:hAnsi="Tahoma"/>
      <w:sz w:val="24"/>
      <w:szCs w:val="20"/>
    </w:rPr>
  </w:style>
  <w:style w:type="paragraph" w:customStyle="1" w:styleId="251">
    <w:name w:val="Char Char11"/>
    <w:basedOn w:val="1"/>
    <w:qFormat/>
    <w:uiPriority w:val="0"/>
  </w:style>
  <w:style w:type="paragraph" w:customStyle="1" w:styleId="252">
    <w:name w:val="Char Char Char Char Char Char Char Char Char Char Char Char Char Char Char1"/>
    <w:basedOn w:val="1"/>
    <w:qFormat/>
    <w:uiPriority w:val="0"/>
    <w:pPr>
      <w:widowControl/>
      <w:spacing w:line="400" w:lineRule="exact"/>
      <w:jc w:val="center"/>
    </w:pPr>
    <w:rPr>
      <w:rFonts w:ascii="Verdana" w:hAnsi="Verdana"/>
      <w:kern w:val="0"/>
      <w:szCs w:val="20"/>
      <w:lang w:eastAsia="en-US"/>
    </w:rPr>
  </w:style>
  <w:style w:type="paragraph" w:customStyle="1" w:styleId="253">
    <w:name w:val="xl160"/>
    <w:basedOn w:val="1"/>
    <w:qFormat/>
    <w:uiPriority w:val="0"/>
    <w:pPr>
      <w:widowControl/>
      <w:pBdr>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0"/>
      <w:szCs w:val="20"/>
    </w:rPr>
  </w:style>
  <w:style w:type="paragraph" w:customStyle="1" w:styleId="254">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55">
    <w:name w:val="xl1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56">
    <w:name w:val="xl170"/>
    <w:basedOn w:val="1"/>
    <w:qFormat/>
    <w:uiPriority w:val="0"/>
    <w:pPr>
      <w:widowControl/>
      <w:pBdr>
        <w:left w:val="single" w:color="auto" w:sz="4" w:space="0"/>
        <w:bottom w:val="single" w:color="auto" w:sz="4" w:space="0"/>
        <w:right w:val="single" w:color="auto" w:sz="4" w:space="0"/>
      </w:pBdr>
      <w:shd w:val="clear" w:color="000000" w:fill="0066CC"/>
      <w:spacing w:before="100" w:beforeAutospacing="1" w:after="100" w:afterAutospacing="1"/>
      <w:jc w:val="center"/>
    </w:pPr>
    <w:rPr>
      <w:rFonts w:ascii="宋体" w:hAnsi="宋体" w:cs="宋体"/>
      <w:kern w:val="0"/>
      <w:sz w:val="20"/>
      <w:szCs w:val="20"/>
    </w:rPr>
  </w:style>
  <w:style w:type="paragraph" w:customStyle="1" w:styleId="257">
    <w:name w:val="默认段落字体 Para Char"/>
    <w:basedOn w:val="1"/>
    <w:qFormat/>
    <w:uiPriority w:val="0"/>
  </w:style>
  <w:style w:type="paragraph" w:customStyle="1" w:styleId="258">
    <w:name w:val="xl130"/>
    <w:basedOn w:val="1"/>
    <w:qFormat/>
    <w:uiPriority w:val="0"/>
    <w:pPr>
      <w:widowControl/>
      <w:spacing w:before="100" w:beforeAutospacing="1" w:after="100" w:afterAutospacing="1"/>
      <w:jc w:val="left"/>
    </w:pPr>
    <w:rPr>
      <w:rFonts w:ascii="宋体" w:hAnsi="宋体" w:cs="宋体"/>
      <w:kern w:val="0"/>
      <w:sz w:val="24"/>
    </w:rPr>
  </w:style>
  <w:style w:type="paragraph" w:customStyle="1" w:styleId="259">
    <w:name w:val="xl1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18"/>
      <w:szCs w:val="18"/>
    </w:rPr>
  </w:style>
  <w:style w:type="paragraph" w:customStyle="1" w:styleId="260">
    <w:name w:val="xl145"/>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61">
    <w:name w:val="德吉标题二"/>
    <w:basedOn w:val="3"/>
    <w:qFormat/>
    <w:uiPriority w:val="0"/>
    <w:pPr>
      <w:tabs>
        <w:tab w:val="left" w:pos="1140"/>
        <w:tab w:val="left" w:pos="1320"/>
      </w:tabs>
      <w:spacing w:line="416" w:lineRule="auto"/>
      <w:ind w:left="1140" w:hanging="720"/>
      <w:jc w:val="left"/>
    </w:pPr>
    <w:rPr>
      <w:rFonts w:ascii="仿宋_GB2312" w:eastAsia="仿宋_GB2312"/>
      <w:kern w:val="2"/>
    </w:rPr>
  </w:style>
  <w:style w:type="paragraph" w:customStyle="1" w:styleId="262">
    <w:name w:val="xl154"/>
    <w:basedOn w:val="1"/>
    <w:qFormat/>
    <w:uiPriority w:val="0"/>
    <w:pPr>
      <w:widowControl/>
      <w:pBdr>
        <w:top w:val="single" w:color="auto" w:sz="4" w:space="0"/>
        <w:left w:val="single" w:color="auto" w:sz="4" w:space="0"/>
        <w:bottom w:val="single" w:color="auto" w:sz="4" w:space="0"/>
      </w:pBdr>
      <w:shd w:val="clear" w:color="000000" w:fill="C0C0C0"/>
      <w:spacing w:before="100" w:beforeAutospacing="1" w:after="100" w:afterAutospacing="1"/>
      <w:jc w:val="left"/>
    </w:pPr>
    <w:rPr>
      <w:rFonts w:ascii="宋体" w:hAnsi="宋体" w:cs="宋体"/>
      <w:kern w:val="0"/>
      <w:sz w:val="20"/>
      <w:szCs w:val="20"/>
    </w:rPr>
  </w:style>
  <w:style w:type="paragraph" w:customStyle="1" w:styleId="263">
    <w:name w:val="xl140"/>
    <w:basedOn w:val="1"/>
    <w:qFormat/>
    <w:uiPriority w:val="0"/>
    <w:pPr>
      <w:widowControl/>
      <w:pBdr>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264">
    <w:name w:val="Char Char Char Char2"/>
    <w:basedOn w:val="1"/>
    <w:next w:val="1"/>
    <w:qFormat/>
    <w:uiPriority w:val="0"/>
    <w:pPr>
      <w:widowControl/>
      <w:spacing w:after="160" w:line="240" w:lineRule="exact"/>
      <w:jc w:val="left"/>
    </w:pPr>
  </w:style>
  <w:style w:type="paragraph" w:customStyle="1" w:styleId="265">
    <w:name w:val="reader-word-layer reader-word-s1-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66">
    <w:name w:val="xl153"/>
    <w:basedOn w:val="1"/>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0"/>
      <w:szCs w:val="20"/>
    </w:rPr>
  </w:style>
  <w:style w:type="paragraph" w:customStyle="1" w:styleId="267">
    <w:name w:val="xl1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68">
    <w:name w:val="Char Char Char1 Char2"/>
    <w:basedOn w:val="1"/>
    <w:qFormat/>
    <w:uiPriority w:val="0"/>
    <w:rPr>
      <w:szCs w:val="20"/>
    </w:rPr>
  </w:style>
  <w:style w:type="paragraph" w:customStyle="1" w:styleId="269">
    <w:name w:val="xl1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70">
    <w:name w:val="正文段"/>
    <w:basedOn w:val="1"/>
    <w:qFormat/>
    <w:uiPriority w:val="0"/>
    <w:pPr>
      <w:adjustRightInd w:val="0"/>
      <w:spacing w:after="240" w:line="312" w:lineRule="atLeast"/>
      <w:ind w:firstLine="425"/>
      <w:textAlignment w:val="baseline"/>
    </w:pPr>
    <w:rPr>
      <w:sz w:val="24"/>
    </w:rPr>
  </w:style>
  <w:style w:type="paragraph" w:customStyle="1" w:styleId="271">
    <w:name w:val="font9"/>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72">
    <w:name w:val="xl138"/>
    <w:basedOn w:val="1"/>
    <w:qFormat/>
    <w:uiPriority w:val="0"/>
    <w:pPr>
      <w:widowControl/>
      <w:spacing w:before="100" w:beforeAutospacing="1" w:after="100" w:afterAutospacing="1"/>
      <w:jc w:val="center"/>
    </w:pPr>
    <w:rPr>
      <w:rFonts w:ascii="宋体" w:hAnsi="宋体" w:cs="宋体"/>
      <w:kern w:val="0"/>
      <w:sz w:val="24"/>
    </w:rPr>
  </w:style>
  <w:style w:type="paragraph" w:customStyle="1" w:styleId="273">
    <w:name w:val="reader-word-layer reader-word-s1-10"/>
    <w:basedOn w:val="1"/>
    <w:qFormat/>
    <w:uiPriority w:val="0"/>
    <w:pPr>
      <w:widowControl/>
      <w:spacing w:before="100" w:beforeAutospacing="1" w:after="100" w:afterAutospacing="1"/>
      <w:jc w:val="left"/>
    </w:pPr>
    <w:rPr>
      <w:rFonts w:ascii="宋体" w:hAnsi="宋体" w:cs="宋体"/>
      <w:kern w:val="0"/>
      <w:sz w:val="24"/>
    </w:rPr>
  </w:style>
  <w:style w:type="paragraph" w:customStyle="1" w:styleId="274">
    <w:name w:val="列出段落2"/>
    <w:basedOn w:val="1"/>
    <w:qFormat/>
    <w:uiPriority w:val="0"/>
    <w:pPr>
      <w:ind w:firstLine="420" w:firstLineChars="200"/>
    </w:pPr>
    <w:rPr>
      <w:rFonts w:ascii="Calibri" w:hAnsi="Calibri"/>
      <w:szCs w:val="20"/>
    </w:rPr>
  </w:style>
  <w:style w:type="paragraph" w:customStyle="1" w:styleId="275">
    <w:name w:val="xl159"/>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18"/>
      <w:szCs w:val="18"/>
    </w:rPr>
  </w:style>
  <w:style w:type="paragraph" w:customStyle="1" w:styleId="276">
    <w:name w:val="xl1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277">
    <w:name w:val="xl131"/>
    <w:basedOn w:val="1"/>
    <w:qFormat/>
    <w:uiPriority w:val="0"/>
    <w:pPr>
      <w:widowControl/>
      <w:pBdr>
        <w:bottom w:val="single" w:color="auto" w:sz="12" w:space="0"/>
      </w:pBdr>
      <w:spacing w:before="100" w:beforeAutospacing="1" w:after="100" w:afterAutospacing="1"/>
      <w:jc w:val="left"/>
    </w:pPr>
    <w:rPr>
      <w:rFonts w:ascii="宋体" w:hAnsi="宋体" w:cs="宋体"/>
      <w:kern w:val="0"/>
      <w:sz w:val="24"/>
    </w:rPr>
  </w:style>
  <w:style w:type="paragraph" w:customStyle="1" w:styleId="278">
    <w:name w:val="TOC 标题2"/>
    <w:basedOn w:val="2"/>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279">
    <w:name w:val="reader-word-layer reader-word-s1-5"/>
    <w:basedOn w:val="1"/>
    <w:qFormat/>
    <w:uiPriority w:val="0"/>
    <w:pPr>
      <w:widowControl/>
      <w:spacing w:before="100" w:beforeAutospacing="1" w:after="100" w:afterAutospacing="1"/>
      <w:jc w:val="left"/>
    </w:pPr>
    <w:rPr>
      <w:rFonts w:ascii="宋体" w:hAnsi="宋体" w:cs="宋体"/>
      <w:kern w:val="0"/>
      <w:sz w:val="24"/>
    </w:rPr>
  </w:style>
  <w:style w:type="paragraph" w:customStyle="1" w:styleId="280">
    <w:name w:val="xl14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ascii="宋体" w:hAnsi="宋体" w:cs="宋体"/>
      <w:kern w:val="0"/>
      <w:sz w:val="20"/>
      <w:szCs w:val="20"/>
    </w:rPr>
  </w:style>
  <w:style w:type="paragraph" w:customStyle="1" w:styleId="281">
    <w:name w:val="xl1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kern w:val="0"/>
      <w:sz w:val="24"/>
    </w:rPr>
  </w:style>
  <w:style w:type="paragraph" w:customStyle="1" w:styleId="282">
    <w:name w:val="xl133"/>
    <w:basedOn w:val="1"/>
    <w:qFormat/>
    <w:uiPriority w:val="0"/>
    <w:pPr>
      <w:widowControl/>
      <w:shd w:val="clear" w:color="000000" w:fill="C0C0C0"/>
      <w:spacing w:before="100" w:beforeAutospacing="1" w:after="100" w:afterAutospacing="1"/>
      <w:jc w:val="left"/>
    </w:pPr>
    <w:rPr>
      <w:rFonts w:ascii="宋体" w:hAnsi="宋体" w:cs="宋体"/>
      <w:kern w:val="0"/>
      <w:sz w:val="20"/>
      <w:szCs w:val="20"/>
    </w:rPr>
  </w:style>
  <w:style w:type="paragraph" w:customStyle="1" w:styleId="283">
    <w:name w:val="xl148"/>
    <w:basedOn w:val="1"/>
    <w:qFormat/>
    <w:uiPriority w:val="0"/>
    <w:pPr>
      <w:widowControl/>
      <w:pBdr>
        <w:bottom w:val="single" w:color="auto" w:sz="4" w:space="0"/>
        <w:right w:val="single" w:color="auto" w:sz="4" w:space="0"/>
      </w:pBdr>
      <w:spacing w:before="100" w:beforeAutospacing="1" w:after="100" w:afterAutospacing="1"/>
      <w:jc w:val="left"/>
      <w:textAlignment w:val="bottom"/>
    </w:pPr>
    <w:rPr>
      <w:rFonts w:ascii="宋体" w:hAnsi="宋体" w:cs="宋体"/>
      <w:kern w:val="0"/>
      <w:sz w:val="20"/>
      <w:szCs w:val="20"/>
    </w:rPr>
  </w:style>
  <w:style w:type="paragraph" w:customStyle="1" w:styleId="284">
    <w:name w:val="xl156"/>
    <w:basedOn w:val="1"/>
    <w:qFormat/>
    <w:uiPriority w:val="0"/>
    <w:pPr>
      <w:widowControl/>
      <w:pBdr>
        <w:top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0"/>
      <w:szCs w:val="20"/>
    </w:rPr>
  </w:style>
  <w:style w:type="paragraph" w:customStyle="1" w:styleId="285">
    <w:name w:val="xl163"/>
    <w:basedOn w:val="1"/>
    <w:qFormat/>
    <w:uiPriority w:val="0"/>
    <w:pPr>
      <w:widowControl/>
      <w:pBdr>
        <w:bottom w:val="single" w:color="auto" w:sz="4" w:space="0"/>
        <w:right w:val="single" w:color="auto" w:sz="4" w:space="0"/>
      </w:pBdr>
      <w:spacing w:before="100" w:beforeAutospacing="1" w:after="100" w:afterAutospacing="1"/>
      <w:jc w:val="left"/>
    </w:pPr>
    <w:rPr>
      <w:rFonts w:ascii="宋体" w:hAnsi="宋体" w:cs="宋体"/>
      <w:color w:val="000000"/>
      <w:kern w:val="0"/>
      <w:sz w:val="18"/>
      <w:szCs w:val="18"/>
    </w:rPr>
  </w:style>
  <w:style w:type="paragraph" w:customStyle="1" w:styleId="286">
    <w:name w:val="reader-word-layer reader-word-s1-9"/>
    <w:basedOn w:val="1"/>
    <w:qFormat/>
    <w:uiPriority w:val="0"/>
    <w:pPr>
      <w:widowControl/>
      <w:spacing w:before="100" w:beforeAutospacing="1" w:after="100" w:afterAutospacing="1"/>
      <w:jc w:val="left"/>
    </w:pPr>
    <w:rPr>
      <w:rFonts w:ascii="宋体" w:hAnsi="宋体" w:cs="宋体"/>
      <w:kern w:val="0"/>
      <w:sz w:val="24"/>
    </w:rPr>
  </w:style>
  <w:style w:type="paragraph" w:customStyle="1" w:styleId="287">
    <w:name w:val="百姓X"/>
    <w:basedOn w:val="1"/>
    <w:qFormat/>
    <w:uiPriority w:val="0"/>
    <w:pPr>
      <w:spacing w:before="120" w:after="120" w:line="360" w:lineRule="auto"/>
      <w:ind w:firstLine="540"/>
    </w:pPr>
    <w:rPr>
      <w:rFonts w:ascii="Arial Narrow" w:hAnsi="Arial Narrow"/>
      <w:sz w:val="24"/>
    </w:rPr>
  </w:style>
  <w:style w:type="paragraph" w:customStyle="1" w:styleId="288">
    <w:name w:val="xl155"/>
    <w:basedOn w:val="1"/>
    <w:qFormat/>
    <w:uiPriority w:val="0"/>
    <w:pPr>
      <w:widowControl/>
      <w:pBdr>
        <w:top w:val="single" w:color="auto" w:sz="4" w:space="0"/>
        <w:bottom w:val="single" w:color="auto" w:sz="4" w:space="0"/>
      </w:pBdr>
      <w:shd w:val="clear" w:color="000000" w:fill="C0C0C0"/>
      <w:spacing w:before="100" w:beforeAutospacing="1" w:after="100" w:afterAutospacing="1"/>
      <w:jc w:val="left"/>
    </w:pPr>
    <w:rPr>
      <w:rFonts w:ascii="宋体" w:hAnsi="宋体" w:cs="宋体"/>
      <w:kern w:val="0"/>
      <w:sz w:val="20"/>
      <w:szCs w:val="20"/>
    </w:rPr>
  </w:style>
  <w:style w:type="paragraph" w:customStyle="1" w:styleId="289">
    <w:name w:val="xl132"/>
    <w:basedOn w:val="1"/>
    <w:qFormat/>
    <w:uiPriority w:val="0"/>
    <w:pPr>
      <w:widowControl/>
      <w:pBdr>
        <w:top w:val="single" w:color="auto" w:sz="4" w:space="0"/>
        <w:left w:val="single" w:color="auto" w:sz="4" w:space="0"/>
        <w:bottom w:val="single" w:color="auto" w:sz="4" w:space="0"/>
        <w:right w:val="single" w:color="auto" w:sz="4" w:space="0"/>
      </w:pBdr>
      <w:shd w:val="clear" w:color="000000" w:fill="0066CC"/>
      <w:spacing w:before="100" w:beforeAutospacing="1" w:after="100" w:afterAutospacing="1"/>
      <w:jc w:val="center"/>
    </w:pPr>
    <w:rPr>
      <w:rFonts w:ascii="宋体" w:hAnsi="宋体" w:cs="宋体"/>
      <w:kern w:val="0"/>
      <w:sz w:val="20"/>
      <w:szCs w:val="20"/>
    </w:rPr>
  </w:style>
  <w:style w:type="paragraph" w:customStyle="1" w:styleId="290">
    <w:name w:val="Char2"/>
    <w:basedOn w:val="1"/>
    <w:qFormat/>
    <w:uiPriority w:val="0"/>
    <w:rPr>
      <w:rFonts w:ascii="Tahoma" w:hAnsi="Tahoma"/>
      <w:sz w:val="24"/>
      <w:szCs w:val="20"/>
    </w:rPr>
  </w:style>
  <w:style w:type="paragraph" w:customStyle="1" w:styleId="291">
    <w:name w:val="Char Char2 Char Char Char Char1"/>
    <w:basedOn w:val="1"/>
    <w:qFormat/>
    <w:uiPriority w:val="0"/>
    <w:rPr>
      <w:rFonts w:ascii="Tahoma" w:hAnsi="Tahoma"/>
      <w:sz w:val="24"/>
      <w:szCs w:val="20"/>
    </w:rPr>
  </w:style>
  <w:style w:type="paragraph" w:customStyle="1" w:styleId="292">
    <w:name w:val="font11"/>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93">
    <w:name w:val="Char Char Char Char Char Char Char11"/>
    <w:basedOn w:val="1"/>
    <w:qFormat/>
    <w:uiPriority w:val="0"/>
    <w:pPr>
      <w:widowControl/>
      <w:spacing w:line="400" w:lineRule="exact"/>
      <w:jc w:val="center"/>
    </w:pPr>
    <w:rPr>
      <w:rFonts w:ascii="Verdana" w:hAnsi="Verdana"/>
      <w:kern w:val="0"/>
      <w:szCs w:val="20"/>
      <w:lang w:eastAsia="en-US"/>
    </w:rPr>
  </w:style>
  <w:style w:type="paragraph" w:customStyle="1" w:styleId="294">
    <w:name w:val="xl139"/>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95">
    <w:name w:val="Char Char Char Char Char Char Char Char Char Char Char Char Char Char Char Char Char Char Char1"/>
    <w:basedOn w:val="1"/>
    <w:qFormat/>
    <w:uiPriority w:val="0"/>
    <w:pPr>
      <w:widowControl/>
      <w:spacing w:line="400" w:lineRule="exact"/>
      <w:jc w:val="center"/>
    </w:pPr>
    <w:rPr>
      <w:rFonts w:ascii="Verdana" w:hAnsi="Verdana"/>
      <w:kern w:val="0"/>
      <w:szCs w:val="20"/>
      <w:lang w:eastAsia="en-US"/>
    </w:rPr>
  </w:style>
  <w:style w:type="paragraph" w:customStyle="1" w:styleId="296">
    <w:name w:val="xl1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kern w:val="0"/>
      <w:sz w:val="20"/>
      <w:szCs w:val="20"/>
    </w:rPr>
  </w:style>
  <w:style w:type="paragraph" w:customStyle="1" w:styleId="297">
    <w:name w:val="xl1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98">
    <w:name w:val="正文2"/>
    <w:qFormat/>
    <w:uiPriority w:val="0"/>
    <w:pPr>
      <w:widowControl w:val="0"/>
      <w:adjustRightInd w:val="0"/>
      <w:spacing w:line="315" w:lineRule="atLeast"/>
      <w:jc w:val="both"/>
      <w:textAlignment w:val="baseline"/>
    </w:pPr>
    <w:rPr>
      <w:rFonts w:ascii="宋体" w:hAnsi="Times New Roman" w:eastAsia="宋体" w:cs="Times New Roman"/>
      <w:sz w:val="24"/>
      <w:lang w:val="en-US" w:eastAsia="zh-CN" w:bidi="ar-SA"/>
    </w:rPr>
  </w:style>
  <w:style w:type="paragraph" w:customStyle="1" w:styleId="299">
    <w:name w:val="xl1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00">
    <w:name w:val="Char Char Char1"/>
    <w:basedOn w:val="1"/>
    <w:qFormat/>
    <w:uiPriority w:val="0"/>
    <w:pPr>
      <w:tabs>
        <w:tab w:val="left" w:pos="420"/>
      </w:tabs>
      <w:ind w:left="420" w:hanging="420"/>
    </w:pPr>
    <w:rPr>
      <w:rFonts w:ascii="Tahoma" w:hAnsi="Tahoma"/>
      <w:sz w:val="24"/>
      <w:szCs w:val="20"/>
    </w:rPr>
  </w:style>
  <w:style w:type="paragraph" w:customStyle="1" w:styleId="301">
    <w:name w:val="font12"/>
    <w:basedOn w:val="1"/>
    <w:qFormat/>
    <w:uiPriority w:val="0"/>
    <w:pPr>
      <w:widowControl/>
      <w:spacing w:before="100" w:beforeAutospacing="1" w:after="100" w:afterAutospacing="1"/>
      <w:jc w:val="left"/>
    </w:pPr>
    <w:rPr>
      <w:rFonts w:ascii="宋体" w:hAnsi="宋体" w:cs="宋体"/>
      <w:color w:val="000000"/>
      <w:kern w:val="0"/>
      <w:sz w:val="18"/>
      <w:szCs w:val="18"/>
    </w:rPr>
  </w:style>
  <w:style w:type="paragraph" w:customStyle="1" w:styleId="302">
    <w:name w:val="xl1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character" w:customStyle="1" w:styleId="303">
    <w:name w:val="NormalCharacter"/>
    <w:qFormat/>
    <w:uiPriority w:val="0"/>
  </w:style>
  <w:style w:type="paragraph" w:customStyle="1" w:styleId="304">
    <w:name w:val="样式 标题 2 + (西文) 宋体 居中"/>
    <w:basedOn w:val="3"/>
    <w:qFormat/>
    <w:uiPriority w:val="0"/>
    <w:pPr>
      <w:spacing w:line="416" w:lineRule="auto"/>
    </w:pPr>
    <w:rPr>
      <w:rFonts w:cs="宋体"/>
      <w:szCs w:val="20"/>
    </w:rPr>
  </w:style>
  <w:style w:type="table" w:customStyle="1" w:styleId="305">
    <w:name w:val="网格型1"/>
    <w:basedOn w:val="4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1CA3324-2B02-4437-B7F7-23D59E12A053}">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88</Pages>
  <Words>17748</Words>
  <Characters>19007</Characters>
  <Lines>352</Lines>
  <Paragraphs>99</Paragraphs>
  <TotalTime>8</TotalTime>
  <ScaleCrop>false</ScaleCrop>
  <LinksUpToDate>false</LinksUpToDate>
  <CharactersWithSpaces>19747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2019-12-27T10:16:00Z</dcterms:created>
  <dc:creator>Windows 用户</dc:creator>
  <cp:lastModifiedBy>YLL</cp:lastModifiedBy>
  <cp:lastPrinted>2022-10-10T00:28:00Z</cp:lastPrinted>
  <dcterms:modified xsi:type="dcterms:W3CDTF">2026-10-12T02:51:05Z</dcterms:modified>
  <cp:revision>282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CE11DA41FF8A4E0783338DDC42612161_13</vt:lpwstr>
  </property>
  <property fmtid="{D5CDD505-2E9C-101B-9397-08002B2CF9AE}" pid="4" name="KSOTemplateDocerSaveRecord">
    <vt:lpwstr>eyJoZGlkIjoiMTc0Mjk4MGJlMDQ3OTg0N2IwMWNkNmZmOTIzMWQzOTkiLCJ1c2VySWQiOiI3Mjg4MzAyNDQifQ==</vt:lpwstr>
  </property>
</Properties>
</file>